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3DBFC5">
      <w:pPr>
        <w:spacing w:line="396" w:lineRule="auto"/>
        <w:rPr>
          <w:b/>
          <w:bCs/>
          <w:sz w:val="21"/>
          <w:szCs w:val="21"/>
        </w:rPr>
      </w:pPr>
      <w:r>
        <w:rPr>
          <w:b/>
          <w:bCs/>
          <w:sz w:val="21"/>
          <w:szCs w:val="21"/>
        </w:rPr>
        <w:tab/>
      </w:r>
    </w:p>
    <w:p w14:paraId="21DCD35C">
      <w:pPr>
        <w:ind w:right="36" w:rightChars="15"/>
        <w:rPr>
          <w:rFonts w:ascii="宋体" w:hAnsi="宋体"/>
          <w:b/>
          <w:bCs/>
          <w:sz w:val="52"/>
          <w:szCs w:val="52"/>
        </w:rPr>
      </w:pPr>
    </w:p>
    <w:p w14:paraId="7F614512">
      <w:pPr>
        <w:ind w:right="36" w:rightChars="15"/>
        <w:rPr>
          <w:rFonts w:ascii="宋体" w:hAnsi="宋体"/>
          <w:b/>
          <w:bCs/>
          <w:sz w:val="52"/>
          <w:szCs w:val="52"/>
        </w:rPr>
      </w:pPr>
    </w:p>
    <w:p w14:paraId="29CBBE0A">
      <w:pPr>
        <w:jc w:val="center"/>
        <w:rPr>
          <w:b/>
          <w:bCs/>
          <w:spacing w:val="60"/>
          <w:sz w:val="52"/>
          <w:szCs w:val="52"/>
        </w:rPr>
      </w:pPr>
      <w:r>
        <w:rPr>
          <w:rFonts w:hint="eastAsia"/>
          <w:b/>
          <w:bCs/>
          <w:spacing w:val="60"/>
          <w:sz w:val="52"/>
          <w:szCs w:val="52"/>
        </w:rPr>
        <w:t>2024-2025年度天然气管道维抢修</w:t>
      </w:r>
    </w:p>
    <w:p w14:paraId="163480FA">
      <w:pPr>
        <w:jc w:val="center"/>
        <w:rPr>
          <w:b/>
          <w:bCs/>
          <w:sz w:val="52"/>
          <w:szCs w:val="52"/>
        </w:rPr>
      </w:pPr>
      <w:r>
        <w:rPr>
          <w:b/>
          <w:bCs/>
          <w:spacing w:val="60"/>
          <w:sz w:val="52"/>
          <w:szCs w:val="52"/>
        </w:rPr>
        <w:t>招标</w:t>
      </w:r>
      <w:r>
        <w:rPr>
          <w:b/>
          <w:bCs/>
          <w:sz w:val="52"/>
          <w:szCs w:val="52"/>
        </w:rPr>
        <w:t>文件</w:t>
      </w:r>
    </w:p>
    <w:p w14:paraId="4669C17F">
      <w:pPr>
        <w:jc w:val="center"/>
        <w:rPr>
          <w:b/>
          <w:bCs/>
          <w:sz w:val="52"/>
          <w:szCs w:val="52"/>
        </w:rPr>
      </w:pPr>
    </w:p>
    <w:p w14:paraId="12F31C71">
      <w:pPr>
        <w:jc w:val="center"/>
        <w:rPr>
          <w:b/>
          <w:bCs/>
          <w:sz w:val="52"/>
          <w:szCs w:val="52"/>
        </w:rPr>
      </w:pPr>
    </w:p>
    <w:p w14:paraId="2CF1EE90">
      <w:pPr>
        <w:spacing w:line="360" w:lineRule="auto"/>
        <w:rPr>
          <w:sz w:val="30"/>
        </w:rPr>
      </w:pPr>
    </w:p>
    <w:p w14:paraId="241CFB4C">
      <w:pPr>
        <w:spacing w:line="360" w:lineRule="auto"/>
        <w:ind w:firstLine="1500" w:firstLineChars="500"/>
        <w:rPr>
          <w:sz w:val="30"/>
        </w:rPr>
      </w:pPr>
      <w:r>
        <w:rPr>
          <w:sz w:val="30"/>
        </w:rPr>
        <w:t>招标编号：SZYCZX2024-RQ-G-007</w:t>
      </w:r>
    </w:p>
    <w:p w14:paraId="48C4F52B">
      <w:pPr>
        <w:spacing w:line="360" w:lineRule="auto"/>
        <w:ind w:firstLine="1500" w:firstLineChars="500"/>
        <w:rPr>
          <w:sz w:val="28"/>
          <w:szCs w:val="28"/>
        </w:rPr>
      </w:pPr>
      <w:r>
        <w:rPr>
          <w:sz w:val="30"/>
        </w:rPr>
        <w:t>招标项目：2024-2025年度天然气管道维抢修</w:t>
      </w:r>
    </w:p>
    <w:p w14:paraId="7365EE57">
      <w:pPr>
        <w:spacing w:line="360" w:lineRule="auto"/>
        <w:ind w:firstLine="1500" w:firstLineChars="500"/>
        <w:rPr>
          <w:sz w:val="30"/>
          <w:szCs w:val="30"/>
        </w:rPr>
      </w:pPr>
      <w:r>
        <w:rPr>
          <w:sz w:val="30"/>
        </w:rPr>
        <w:t>招标单</w:t>
      </w:r>
      <w:r>
        <w:rPr>
          <w:sz w:val="30"/>
          <w:szCs w:val="30"/>
        </w:rPr>
        <w:t>位：苏州燃气集团有限责任公司</w:t>
      </w:r>
    </w:p>
    <w:p w14:paraId="5D7EE966">
      <w:pPr>
        <w:spacing w:line="360" w:lineRule="auto"/>
        <w:ind w:firstLine="1500" w:firstLineChars="500"/>
        <w:rPr>
          <w:sz w:val="30"/>
        </w:rPr>
      </w:pPr>
      <w:r>
        <w:rPr>
          <w:sz w:val="30"/>
        </w:rPr>
        <w:t>招标类别：</w:t>
      </w:r>
      <w:r>
        <w:rPr>
          <w:rFonts w:hint="eastAsia"/>
          <w:sz w:val="30"/>
        </w:rPr>
        <w:t>服务类</w:t>
      </w:r>
    </w:p>
    <w:p w14:paraId="0732239C">
      <w:pPr>
        <w:spacing w:line="360" w:lineRule="auto"/>
        <w:ind w:firstLine="1500" w:firstLineChars="500"/>
        <w:rPr>
          <w:sz w:val="30"/>
          <w:szCs w:val="30"/>
        </w:rPr>
      </w:pPr>
    </w:p>
    <w:p w14:paraId="2082CF1F">
      <w:pPr>
        <w:spacing w:line="480" w:lineRule="auto"/>
        <w:ind w:right="-159" w:firstLine="2760" w:firstLineChars="1150"/>
        <w:rPr>
          <w:szCs w:val="24"/>
        </w:rPr>
      </w:pPr>
    </w:p>
    <w:p w14:paraId="60245583">
      <w:pPr>
        <w:spacing w:line="480" w:lineRule="auto"/>
        <w:ind w:right="-159"/>
        <w:rPr>
          <w:szCs w:val="24"/>
        </w:rPr>
      </w:pPr>
    </w:p>
    <w:p w14:paraId="0F558867">
      <w:pPr>
        <w:spacing w:line="360" w:lineRule="auto"/>
        <w:ind w:firstLine="1950" w:firstLineChars="650"/>
        <w:rPr>
          <w:sz w:val="30"/>
        </w:rPr>
      </w:pPr>
      <w:r>
        <w:rPr>
          <w:rFonts w:hint="eastAsia"/>
          <w:sz w:val="30"/>
        </w:rPr>
        <w:t xml:space="preserve">     </w:t>
      </w:r>
      <w:r>
        <w:rPr>
          <w:sz w:val="30"/>
        </w:rPr>
        <w:t>苏州市永诚建设咨询有限公司</w:t>
      </w:r>
    </w:p>
    <w:p w14:paraId="11AE60ED">
      <w:pPr>
        <w:spacing w:line="360" w:lineRule="auto"/>
        <w:ind w:firstLine="3150" w:firstLineChars="1050"/>
        <w:rPr>
          <w:sz w:val="30"/>
        </w:rPr>
      </w:pPr>
      <w:r>
        <w:rPr>
          <w:rFonts w:hint="eastAsia"/>
          <w:sz w:val="30"/>
        </w:rPr>
        <w:t xml:space="preserve">    </w:t>
      </w:r>
      <w:r>
        <w:rPr>
          <w:sz w:val="30"/>
        </w:rPr>
        <w:t>二〇</w:t>
      </w:r>
      <w:r>
        <w:rPr>
          <w:rFonts w:hint="eastAsia"/>
          <w:sz w:val="30"/>
        </w:rPr>
        <w:t>二四</w:t>
      </w:r>
      <w:r>
        <w:rPr>
          <w:sz w:val="30"/>
        </w:rPr>
        <w:t>年</w:t>
      </w:r>
      <w:r>
        <w:rPr>
          <w:rFonts w:hint="eastAsia"/>
          <w:sz w:val="30"/>
        </w:rPr>
        <w:t>九</w:t>
      </w:r>
      <w:r>
        <w:rPr>
          <w:sz w:val="30"/>
        </w:rPr>
        <w:t>月</w:t>
      </w:r>
    </w:p>
    <w:p w14:paraId="772D2C9D">
      <w:pPr>
        <w:spacing w:line="360" w:lineRule="auto"/>
        <w:ind w:firstLine="3150" w:firstLineChars="1050"/>
        <w:rPr>
          <w:sz w:val="30"/>
        </w:rPr>
      </w:pPr>
    </w:p>
    <w:p w14:paraId="48A14F3C">
      <w:pPr>
        <w:spacing w:line="360" w:lineRule="auto"/>
        <w:ind w:firstLine="3150" w:firstLineChars="1050"/>
        <w:rPr>
          <w:sz w:val="30"/>
        </w:rPr>
      </w:pPr>
    </w:p>
    <w:p w14:paraId="55533FE2">
      <w:pPr>
        <w:spacing w:line="360" w:lineRule="auto"/>
        <w:ind w:firstLine="3150" w:firstLineChars="1050"/>
        <w:rPr>
          <w:sz w:val="30"/>
        </w:rPr>
      </w:pPr>
    </w:p>
    <w:p w14:paraId="1944AE3C">
      <w:pPr>
        <w:spacing w:line="360" w:lineRule="auto"/>
        <w:ind w:firstLine="3150" w:firstLineChars="1050"/>
        <w:rPr>
          <w:sz w:val="30"/>
        </w:rPr>
      </w:pPr>
    </w:p>
    <w:p w14:paraId="5AE657F6">
      <w:pPr>
        <w:spacing w:line="360" w:lineRule="auto"/>
        <w:ind w:firstLine="3150" w:firstLineChars="1050"/>
        <w:rPr>
          <w:sz w:val="30"/>
        </w:rPr>
      </w:pPr>
    </w:p>
    <w:p w14:paraId="37DB0058">
      <w:pPr>
        <w:spacing w:line="360" w:lineRule="auto"/>
        <w:ind w:firstLine="3150" w:firstLineChars="1050"/>
        <w:rPr>
          <w:sz w:val="30"/>
        </w:rPr>
      </w:pPr>
    </w:p>
    <w:p w14:paraId="4FBEAFAF">
      <w:pPr>
        <w:spacing w:line="360" w:lineRule="auto"/>
        <w:ind w:firstLine="3150" w:firstLineChars="1050"/>
        <w:rPr>
          <w:sz w:val="30"/>
        </w:rPr>
      </w:pPr>
    </w:p>
    <w:p w14:paraId="42FC984D"/>
    <w:p w14:paraId="3C86EC94">
      <w:pPr>
        <w:jc w:val="center"/>
        <w:rPr>
          <w:rFonts w:eastAsia="黑体"/>
          <w:b/>
          <w:kern w:val="2"/>
          <w:sz w:val="44"/>
          <w:szCs w:val="44"/>
        </w:rPr>
      </w:pPr>
      <w:r>
        <w:rPr>
          <w:rFonts w:eastAsia="黑体"/>
          <w:b/>
          <w:sz w:val="44"/>
          <w:szCs w:val="44"/>
        </w:rPr>
        <w:t>目   录</w:t>
      </w:r>
    </w:p>
    <w:p w14:paraId="0FCF87B9">
      <w:pPr>
        <w:pStyle w:val="9"/>
        <w:overflowPunct w:val="0"/>
        <w:ind w:firstLine="0"/>
        <w:jc w:val="center"/>
        <w:rPr>
          <w:rFonts w:eastAsia="黑体"/>
          <w:sz w:val="36"/>
          <w:szCs w:val="24"/>
        </w:rPr>
      </w:pPr>
    </w:p>
    <w:p w14:paraId="58E2A5CD">
      <w:pPr>
        <w:pStyle w:val="37"/>
        <w:widowControl w:val="0"/>
        <w:tabs>
          <w:tab w:val="right" w:leader="dot" w:pos="8302"/>
        </w:tabs>
        <w:spacing w:line="480" w:lineRule="auto"/>
        <w:rPr>
          <w:rFonts w:eastAsia="黑体"/>
          <w:sz w:val="36"/>
          <w:szCs w:val="24"/>
        </w:rPr>
      </w:pPr>
      <w:r>
        <w:rPr>
          <w:rFonts w:eastAsia="黑体"/>
          <w:sz w:val="36"/>
          <w:szCs w:val="24"/>
        </w:rPr>
        <w:t>前附表  …………………………………………………………</w:t>
      </w:r>
      <w:r>
        <w:rPr>
          <w:rFonts w:hint="eastAsia" w:eastAsia="黑体"/>
          <w:sz w:val="36"/>
          <w:szCs w:val="24"/>
        </w:rPr>
        <w:t>3</w:t>
      </w:r>
    </w:p>
    <w:p w14:paraId="0C166E13">
      <w:pPr>
        <w:pStyle w:val="37"/>
        <w:widowControl w:val="0"/>
        <w:tabs>
          <w:tab w:val="right" w:leader="dot" w:pos="8302"/>
        </w:tabs>
        <w:spacing w:line="480" w:lineRule="auto"/>
        <w:rPr>
          <w:rFonts w:eastAsia="黑体"/>
          <w:sz w:val="36"/>
          <w:szCs w:val="24"/>
        </w:rPr>
      </w:pPr>
      <w:r>
        <w:rPr>
          <w:rFonts w:eastAsia="黑体"/>
          <w:sz w:val="36"/>
          <w:szCs w:val="24"/>
        </w:rPr>
        <w:t>第一章  招标公告………………………………………………5</w:t>
      </w:r>
    </w:p>
    <w:p w14:paraId="55AA3083">
      <w:pPr>
        <w:pStyle w:val="37"/>
        <w:widowControl w:val="0"/>
        <w:tabs>
          <w:tab w:val="right" w:leader="dot" w:pos="8302"/>
        </w:tabs>
        <w:spacing w:line="480" w:lineRule="auto"/>
        <w:rPr>
          <w:rFonts w:eastAsia="黑体"/>
          <w:sz w:val="36"/>
          <w:szCs w:val="24"/>
        </w:rPr>
      </w:pPr>
      <w:r>
        <w:rPr>
          <w:rFonts w:eastAsia="黑体"/>
          <w:sz w:val="36"/>
          <w:szCs w:val="24"/>
        </w:rPr>
        <w:t>第</w:t>
      </w:r>
      <w:r>
        <w:rPr>
          <w:rFonts w:hint="eastAsia" w:eastAsia="黑体"/>
          <w:sz w:val="36"/>
          <w:szCs w:val="24"/>
        </w:rPr>
        <w:t>二</w:t>
      </w:r>
      <w:r>
        <w:rPr>
          <w:rFonts w:eastAsia="黑体"/>
          <w:sz w:val="36"/>
          <w:szCs w:val="24"/>
        </w:rPr>
        <w:t>章  投标人须知……………………………………………8</w:t>
      </w:r>
    </w:p>
    <w:p w14:paraId="6B758DB1">
      <w:pPr>
        <w:pStyle w:val="37"/>
        <w:widowControl w:val="0"/>
        <w:tabs>
          <w:tab w:val="right" w:leader="dot" w:pos="8302"/>
        </w:tabs>
        <w:spacing w:line="480" w:lineRule="auto"/>
        <w:rPr>
          <w:rFonts w:eastAsia="黑体"/>
          <w:sz w:val="36"/>
          <w:szCs w:val="24"/>
        </w:rPr>
      </w:pPr>
      <w:r>
        <w:rPr>
          <w:rFonts w:eastAsia="黑体"/>
          <w:sz w:val="36"/>
          <w:szCs w:val="24"/>
        </w:rPr>
        <w:t>第</w:t>
      </w:r>
      <w:r>
        <w:rPr>
          <w:rFonts w:hint="eastAsia" w:eastAsia="黑体"/>
          <w:sz w:val="36"/>
          <w:szCs w:val="24"/>
        </w:rPr>
        <w:t>三</w:t>
      </w:r>
      <w:r>
        <w:rPr>
          <w:rFonts w:eastAsia="黑体"/>
          <w:sz w:val="36"/>
          <w:szCs w:val="24"/>
        </w:rPr>
        <w:t>章  投标文件格式…………………………………………18</w:t>
      </w:r>
    </w:p>
    <w:p w14:paraId="3F53E69E">
      <w:pPr>
        <w:pStyle w:val="37"/>
        <w:widowControl w:val="0"/>
        <w:tabs>
          <w:tab w:val="right" w:leader="dot" w:pos="8302"/>
        </w:tabs>
        <w:spacing w:line="480" w:lineRule="auto"/>
        <w:rPr>
          <w:rFonts w:eastAsia="黑体"/>
          <w:sz w:val="36"/>
          <w:szCs w:val="24"/>
        </w:rPr>
      </w:pPr>
      <w:r>
        <w:rPr>
          <w:rFonts w:eastAsia="黑体"/>
          <w:sz w:val="36"/>
          <w:szCs w:val="24"/>
        </w:rPr>
        <w:t>第</w:t>
      </w:r>
      <w:r>
        <w:rPr>
          <w:rFonts w:hint="eastAsia" w:eastAsia="黑体"/>
          <w:sz w:val="36"/>
          <w:szCs w:val="24"/>
        </w:rPr>
        <w:t>四</w:t>
      </w:r>
      <w:r>
        <w:rPr>
          <w:rFonts w:eastAsia="黑体"/>
          <w:sz w:val="36"/>
          <w:szCs w:val="24"/>
        </w:rPr>
        <w:t>章  招标书…………………………………………………28</w:t>
      </w:r>
    </w:p>
    <w:p w14:paraId="7C51C5E5">
      <w:pPr>
        <w:pStyle w:val="37"/>
        <w:widowControl w:val="0"/>
        <w:tabs>
          <w:tab w:val="right" w:leader="dot" w:pos="8302"/>
        </w:tabs>
        <w:spacing w:line="480" w:lineRule="auto"/>
        <w:rPr>
          <w:rFonts w:eastAsia="黑体"/>
          <w:sz w:val="36"/>
          <w:szCs w:val="24"/>
        </w:rPr>
      </w:pPr>
      <w:r>
        <w:rPr>
          <w:rFonts w:eastAsia="黑体"/>
          <w:sz w:val="36"/>
          <w:szCs w:val="24"/>
        </w:rPr>
        <w:t>第</w:t>
      </w:r>
      <w:r>
        <w:rPr>
          <w:rFonts w:hint="eastAsia" w:eastAsia="黑体"/>
          <w:sz w:val="36"/>
          <w:szCs w:val="24"/>
        </w:rPr>
        <w:t>五</w:t>
      </w:r>
      <w:r>
        <w:rPr>
          <w:rFonts w:eastAsia="黑体"/>
          <w:sz w:val="36"/>
          <w:szCs w:val="24"/>
        </w:rPr>
        <w:t>章  合同主要条款…………………………………………</w:t>
      </w:r>
      <w:r>
        <w:rPr>
          <w:rFonts w:hint="eastAsia" w:eastAsia="黑体"/>
          <w:sz w:val="36"/>
          <w:szCs w:val="24"/>
        </w:rPr>
        <w:t>3</w:t>
      </w:r>
      <w:r>
        <w:rPr>
          <w:rFonts w:eastAsia="黑体"/>
          <w:sz w:val="36"/>
          <w:szCs w:val="24"/>
        </w:rPr>
        <w:t>2</w:t>
      </w:r>
    </w:p>
    <w:p w14:paraId="7FF324E9">
      <w:pPr>
        <w:pStyle w:val="37"/>
        <w:widowControl w:val="0"/>
        <w:tabs>
          <w:tab w:val="right" w:leader="dot" w:pos="8302"/>
        </w:tabs>
        <w:spacing w:line="480" w:lineRule="auto"/>
        <w:rPr>
          <w:rFonts w:eastAsia="黑体"/>
          <w:sz w:val="36"/>
          <w:szCs w:val="24"/>
        </w:rPr>
      </w:pPr>
      <w:r>
        <w:rPr>
          <w:rFonts w:eastAsia="黑体"/>
          <w:sz w:val="36"/>
          <w:szCs w:val="24"/>
        </w:rPr>
        <w:t>第</w:t>
      </w:r>
      <w:r>
        <w:rPr>
          <w:rFonts w:hint="eastAsia" w:eastAsia="黑体"/>
          <w:sz w:val="36"/>
          <w:szCs w:val="24"/>
        </w:rPr>
        <w:t>六</w:t>
      </w:r>
      <w:r>
        <w:rPr>
          <w:rFonts w:eastAsia="黑体"/>
          <w:sz w:val="36"/>
          <w:szCs w:val="24"/>
        </w:rPr>
        <w:t>章  评标方法</w:t>
      </w:r>
      <w:r>
        <w:rPr>
          <w:rFonts w:hint="eastAsia" w:eastAsia="黑体"/>
          <w:sz w:val="36"/>
          <w:szCs w:val="24"/>
        </w:rPr>
        <w:t>及</w:t>
      </w:r>
      <w:r>
        <w:rPr>
          <w:rFonts w:eastAsia="黑体"/>
          <w:sz w:val="36"/>
          <w:szCs w:val="24"/>
        </w:rPr>
        <w:t>评分标准…………………………………3</w:t>
      </w:r>
      <w:r>
        <w:rPr>
          <w:rFonts w:hint="eastAsia" w:eastAsia="黑体"/>
          <w:sz w:val="36"/>
          <w:szCs w:val="24"/>
        </w:rPr>
        <w:t>6</w:t>
      </w:r>
    </w:p>
    <w:p w14:paraId="588E589E">
      <w:pPr>
        <w:pStyle w:val="44"/>
        <w:spacing w:after="0" w:line="360" w:lineRule="auto"/>
        <w:ind w:left="0" w:leftChars="0" w:right="420"/>
        <w:jc w:val="center"/>
        <w:rPr>
          <w:rFonts w:eastAsia="黑体"/>
          <w:b/>
          <w:bCs/>
          <w:kern w:val="2"/>
          <w:sz w:val="32"/>
          <w:szCs w:val="32"/>
        </w:rPr>
      </w:pPr>
    </w:p>
    <w:p w14:paraId="17BBF336">
      <w:pPr>
        <w:pStyle w:val="44"/>
        <w:spacing w:after="0" w:line="360" w:lineRule="auto"/>
        <w:ind w:left="0" w:leftChars="0" w:right="420"/>
        <w:jc w:val="center"/>
        <w:rPr>
          <w:rFonts w:eastAsia="黑体"/>
          <w:b/>
          <w:bCs/>
          <w:kern w:val="2"/>
          <w:sz w:val="32"/>
          <w:szCs w:val="32"/>
        </w:rPr>
      </w:pPr>
      <w:r>
        <w:rPr>
          <w:rFonts w:eastAsia="黑体"/>
          <w:b/>
          <w:bCs/>
          <w:kern w:val="2"/>
          <w:sz w:val="32"/>
          <w:szCs w:val="32"/>
        </w:rPr>
        <w:br w:type="page"/>
      </w:r>
      <w:r>
        <w:rPr>
          <w:rFonts w:eastAsia="黑体"/>
          <w:b/>
          <w:bCs/>
          <w:kern w:val="2"/>
          <w:sz w:val="32"/>
          <w:szCs w:val="32"/>
        </w:rPr>
        <w:t>前 附 表</w:t>
      </w:r>
    </w:p>
    <w:p w14:paraId="62C227BC">
      <w:pPr>
        <w:pStyle w:val="44"/>
        <w:spacing w:after="0" w:line="360" w:lineRule="auto"/>
        <w:ind w:left="0" w:leftChars="0" w:right="420"/>
        <w:rPr>
          <w:spacing w:val="20"/>
          <w:sz w:val="24"/>
          <w:szCs w:val="24"/>
        </w:rPr>
      </w:pPr>
      <w:r>
        <w:rPr>
          <w:sz w:val="24"/>
          <w:szCs w:val="24"/>
        </w:rPr>
        <w:t>（下列附表说明是对招标文件的具体补充和修正，如有矛盾之处以本附表为准）</w:t>
      </w:r>
    </w:p>
    <w:tbl>
      <w:tblPr>
        <w:tblStyle w:val="56"/>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0"/>
        <w:gridCol w:w="1701"/>
        <w:gridCol w:w="7541"/>
      </w:tblGrid>
      <w:tr w14:paraId="13792B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700B8032">
            <w:pPr>
              <w:widowControl w:val="0"/>
              <w:autoSpaceDE w:val="0"/>
              <w:autoSpaceDN w:val="0"/>
              <w:adjustRightInd w:val="0"/>
              <w:spacing w:line="360" w:lineRule="exact"/>
              <w:jc w:val="center"/>
              <w:rPr>
                <w:b/>
                <w:bCs/>
                <w:kern w:val="2"/>
                <w:szCs w:val="24"/>
              </w:rPr>
            </w:pPr>
            <w:r>
              <w:rPr>
                <w:b/>
                <w:bCs/>
                <w:kern w:val="2"/>
                <w:szCs w:val="24"/>
                <w:lang w:val="zh-CN"/>
              </w:rPr>
              <w:t>项号</w:t>
            </w:r>
          </w:p>
        </w:tc>
        <w:tc>
          <w:tcPr>
            <w:tcW w:w="1701" w:type="dxa"/>
            <w:tcBorders>
              <w:top w:val="single" w:color="auto" w:sz="6" w:space="0"/>
              <w:left w:val="single" w:color="auto" w:sz="6" w:space="0"/>
              <w:bottom w:val="single" w:color="auto" w:sz="6" w:space="0"/>
              <w:right w:val="single" w:color="auto" w:sz="6" w:space="0"/>
            </w:tcBorders>
            <w:vAlign w:val="center"/>
          </w:tcPr>
          <w:p w14:paraId="0739D5E2">
            <w:pPr>
              <w:widowControl w:val="0"/>
              <w:autoSpaceDE w:val="0"/>
              <w:autoSpaceDN w:val="0"/>
              <w:adjustRightInd w:val="0"/>
              <w:spacing w:line="360" w:lineRule="exact"/>
              <w:jc w:val="center"/>
              <w:rPr>
                <w:b/>
                <w:bCs/>
                <w:kern w:val="2"/>
                <w:szCs w:val="24"/>
                <w:lang w:val="zh-CN"/>
              </w:rPr>
            </w:pPr>
            <w:r>
              <w:rPr>
                <w:b/>
                <w:bCs/>
                <w:kern w:val="2"/>
                <w:szCs w:val="24"/>
                <w:lang w:val="zh-CN"/>
              </w:rPr>
              <w:t>名称</w:t>
            </w:r>
          </w:p>
        </w:tc>
        <w:tc>
          <w:tcPr>
            <w:tcW w:w="7541" w:type="dxa"/>
            <w:tcBorders>
              <w:top w:val="single" w:color="auto" w:sz="6" w:space="0"/>
              <w:left w:val="single" w:color="auto" w:sz="6" w:space="0"/>
              <w:bottom w:val="single" w:color="auto" w:sz="6" w:space="0"/>
              <w:right w:val="single" w:color="auto" w:sz="6" w:space="0"/>
            </w:tcBorders>
            <w:vAlign w:val="center"/>
          </w:tcPr>
          <w:p w14:paraId="094F8B3B">
            <w:pPr>
              <w:widowControl w:val="0"/>
              <w:autoSpaceDE w:val="0"/>
              <w:autoSpaceDN w:val="0"/>
              <w:adjustRightInd w:val="0"/>
              <w:spacing w:line="360" w:lineRule="exact"/>
              <w:jc w:val="center"/>
              <w:rPr>
                <w:b/>
                <w:bCs/>
                <w:kern w:val="2"/>
                <w:szCs w:val="24"/>
              </w:rPr>
            </w:pPr>
            <w:r>
              <w:rPr>
                <w:b/>
                <w:bCs/>
                <w:kern w:val="2"/>
                <w:szCs w:val="24"/>
                <w:lang w:val="zh-CN"/>
              </w:rPr>
              <w:t>内      容</w:t>
            </w:r>
          </w:p>
        </w:tc>
      </w:tr>
      <w:tr w14:paraId="41191D4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32E7DF69">
            <w:pPr>
              <w:widowControl w:val="0"/>
              <w:autoSpaceDE w:val="0"/>
              <w:autoSpaceDN w:val="0"/>
              <w:adjustRightInd w:val="0"/>
              <w:spacing w:line="400" w:lineRule="exact"/>
              <w:jc w:val="center"/>
              <w:rPr>
                <w:kern w:val="2"/>
                <w:szCs w:val="24"/>
                <w:lang w:val="zh-CN"/>
              </w:rPr>
            </w:pPr>
            <w:r>
              <w:rPr>
                <w:kern w:val="2"/>
                <w:szCs w:val="24"/>
                <w:lang w:val="zh-CN"/>
              </w:rPr>
              <w:t>1</w:t>
            </w:r>
          </w:p>
        </w:tc>
        <w:tc>
          <w:tcPr>
            <w:tcW w:w="1701" w:type="dxa"/>
            <w:tcBorders>
              <w:top w:val="single" w:color="auto" w:sz="6" w:space="0"/>
              <w:left w:val="single" w:color="auto" w:sz="6" w:space="0"/>
              <w:bottom w:val="single" w:color="auto" w:sz="6" w:space="0"/>
              <w:right w:val="single" w:color="auto" w:sz="6" w:space="0"/>
            </w:tcBorders>
            <w:vAlign w:val="center"/>
          </w:tcPr>
          <w:p w14:paraId="0E04576D">
            <w:pPr>
              <w:widowControl w:val="0"/>
              <w:tabs>
                <w:tab w:val="left" w:pos="3600"/>
              </w:tabs>
              <w:autoSpaceDE w:val="0"/>
              <w:autoSpaceDN w:val="0"/>
              <w:adjustRightInd w:val="0"/>
              <w:spacing w:line="400" w:lineRule="exact"/>
              <w:jc w:val="center"/>
              <w:rPr>
                <w:kern w:val="2"/>
                <w:szCs w:val="24"/>
                <w:lang w:val="zh-CN"/>
              </w:rPr>
            </w:pPr>
            <w:r>
              <w:rPr>
                <w:kern w:val="2"/>
                <w:szCs w:val="24"/>
                <w:lang w:val="zh-CN"/>
              </w:rPr>
              <w:t>采购人</w:t>
            </w:r>
          </w:p>
        </w:tc>
        <w:tc>
          <w:tcPr>
            <w:tcW w:w="7541" w:type="dxa"/>
            <w:tcBorders>
              <w:top w:val="single" w:color="auto" w:sz="6" w:space="0"/>
              <w:left w:val="single" w:color="auto" w:sz="6" w:space="0"/>
              <w:bottom w:val="single" w:color="auto" w:sz="6" w:space="0"/>
              <w:right w:val="single" w:color="auto" w:sz="6" w:space="0"/>
            </w:tcBorders>
            <w:vAlign w:val="center"/>
          </w:tcPr>
          <w:p w14:paraId="2A64CCDB">
            <w:pPr>
              <w:widowControl w:val="0"/>
              <w:tabs>
                <w:tab w:val="left" w:pos="3600"/>
              </w:tabs>
              <w:autoSpaceDE w:val="0"/>
              <w:autoSpaceDN w:val="0"/>
              <w:adjustRightInd w:val="0"/>
              <w:spacing w:line="400" w:lineRule="exact"/>
              <w:jc w:val="both"/>
              <w:rPr>
                <w:kern w:val="2"/>
                <w:szCs w:val="24"/>
                <w:lang w:val="zh-CN"/>
              </w:rPr>
            </w:pPr>
            <w:r>
              <w:rPr>
                <w:szCs w:val="24"/>
              </w:rPr>
              <w:t>苏州燃气集团有限责任公司</w:t>
            </w:r>
          </w:p>
          <w:p w14:paraId="12B90618">
            <w:pPr>
              <w:widowControl w:val="0"/>
              <w:tabs>
                <w:tab w:val="left" w:pos="3600"/>
              </w:tabs>
              <w:autoSpaceDE w:val="0"/>
              <w:autoSpaceDN w:val="0"/>
              <w:adjustRightInd w:val="0"/>
              <w:spacing w:line="400" w:lineRule="exact"/>
              <w:jc w:val="both"/>
              <w:rPr>
                <w:color w:val="000000"/>
                <w:kern w:val="2"/>
                <w:szCs w:val="24"/>
              </w:rPr>
            </w:pPr>
            <w:r>
              <w:rPr>
                <w:color w:val="000000"/>
                <w:kern w:val="2"/>
                <w:szCs w:val="24"/>
                <w:lang w:val="zh-CN"/>
              </w:rPr>
              <w:t>联系人：</w:t>
            </w:r>
            <w:r>
              <w:rPr>
                <w:rFonts w:hint="eastAsia"/>
                <w:color w:val="000000"/>
                <w:kern w:val="2"/>
                <w:szCs w:val="24"/>
              </w:rPr>
              <w:t>薛晋</w:t>
            </w:r>
            <w:r>
              <w:rPr>
                <w:color w:val="000000"/>
                <w:kern w:val="2"/>
                <w:szCs w:val="24"/>
              </w:rPr>
              <w:t xml:space="preserve">       </w:t>
            </w:r>
            <w:r>
              <w:rPr>
                <w:rFonts w:hint="eastAsia"/>
                <w:color w:val="000000"/>
                <w:kern w:val="2"/>
                <w:szCs w:val="24"/>
              </w:rPr>
              <w:t xml:space="preserve"> </w:t>
            </w:r>
            <w:r>
              <w:rPr>
                <w:color w:val="000000"/>
                <w:kern w:val="2"/>
                <w:szCs w:val="24"/>
                <w:lang w:val="zh-CN"/>
              </w:rPr>
              <w:t>联系电话</w:t>
            </w:r>
            <w:r>
              <w:rPr>
                <w:color w:val="000000" w:themeColor="text1"/>
                <w:kern w:val="2"/>
                <w:szCs w:val="24"/>
                <w:lang w:val="zh-CN"/>
                <w14:textFill>
                  <w14:solidFill>
                    <w14:schemeClr w14:val="tx1"/>
                  </w14:solidFill>
                </w14:textFill>
              </w:rPr>
              <w:t>：0512</w:t>
            </w:r>
            <w:r>
              <w:rPr>
                <w:rFonts w:hint="eastAsia"/>
                <w:color w:val="000000" w:themeColor="text1"/>
                <w:kern w:val="2"/>
                <w:szCs w:val="24"/>
                <w:lang w:val="zh-CN"/>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kern w:val="2"/>
                <w:szCs w:val="24"/>
                <w14:textFill>
                  <w14:solidFill>
                    <w14:schemeClr w14:val="tx1"/>
                  </w14:solidFill>
                </w14:textFill>
              </w:rPr>
              <w:t>67509237</w:t>
            </w:r>
          </w:p>
        </w:tc>
      </w:tr>
      <w:tr w14:paraId="608C0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465E22C0">
            <w:pPr>
              <w:widowControl w:val="0"/>
              <w:autoSpaceDE w:val="0"/>
              <w:autoSpaceDN w:val="0"/>
              <w:adjustRightInd w:val="0"/>
              <w:spacing w:line="400" w:lineRule="exact"/>
              <w:jc w:val="center"/>
              <w:rPr>
                <w:kern w:val="2"/>
                <w:szCs w:val="24"/>
                <w:lang w:val="zh-CN"/>
              </w:rPr>
            </w:pPr>
            <w:r>
              <w:rPr>
                <w:kern w:val="2"/>
                <w:szCs w:val="24"/>
                <w:lang w:val="zh-CN"/>
              </w:rPr>
              <w:t>2</w:t>
            </w:r>
          </w:p>
        </w:tc>
        <w:tc>
          <w:tcPr>
            <w:tcW w:w="1701" w:type="dxa"/>
            <w:tcBorders>
              <w:top w:val="single" w:color="auto" w:sz="6" w:space="0"/>
              <w:left w:val="single" w:color="auto" w:sz="6" w:space="0"/>
              <w:bottom w:val="single" w:color="auto" w:sz="6" w:space="0"/>
              <w:right w:val="single" w:color="auto" w:sz="6" w:space="0"/>
            </w:tcBorders>
            <w:vAlign w:val="center"/>
          </w:tcPr>
          <w:p w14:paraId="2DE53F71">
            <w:pPr>
              <w:widowControl w:val="0"/>
              <w:autoSpaceDE w:val="0"/>
              <w:autoSpaceDN w:val="0"/>
              <w:adjustRightInd w:val="0"/>
              <w:spacing w:line="400" w:lineRule="exact"/>
              <w:jc w:val="center"/>
              <w:rPr>
                <w:kern w:val="2"/>
                <w:szCs w:val="24"/>
              </w:rPr>
            </w:pPr>
            <w:r>
              <w:rPr>
                <w:kern w:val="2"/>
                <w:szCs w:val="24"/>
                <w:lang w:val="zh-CN"/>
              </w:rPr>
              <w:t>招标编号</w:t>
            </w:r>
          </w:p>
        </w:tc>
        <w:tc>
          <w:tcPr>
            <w:tcW w:w="7541" w:type="dxa"/>
            <w:tcBorders>
              <w:top w:val="single" w:color="auto" w:sz="6" w:space="0"/>
              <w:left w:val="single" w:color="auto" w:sz="6" w:space="0"/>
              <w:bottom w:val="single" w:color="auto" w:sz="6" w:space="0"/>
              <w:right w:val="single" w:color="auto" w:sz="6" w:space="0"/>
            </w:tcBorders>
            <w:vAlign w:val="center"/>
          </w:tcPr>
          <w:p w14:paraId="0AE05A87">
            <w:pPr>
              <w:spacing w:line="400" w:lineRule="exact"/>
              <w:jc w:val="both"/>
              <w:rPr>
                <w:szCs w:val="24"/>
              </w:rPr>
            </w:pPr>
            <w:r>
              <w:rPr>
                <w:szCs w:val="24"/>
              </w:rPr>
              <w:t>SZYCZX2024-RQ-G-007号</w:t>
            </w:r>
          </w:p>
        </w:tc>
      </w:tr>
      <w:tr w14:paraId="6A7D72F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06372178">
            <w:pPr>
              <w:widowControl w:val="0"/>
              <w:autoSpaceDE w:val="0"/>
              <w:autoSpaceDN w:val="0"/>
              <w:adjustRightInd w:val="0"/>
              <w:spacing w:line="400" w:lineRule="exact"/>
              <w:jc w:val="center"/>
              <w:rPr>
                <w:kern w:val="2"/>
                <w:szCs w:val="24"/>
                <w:lang w:val="zh-CN"/>
              </w:rPr>
            </w:pPr>
            <w:r>
              <w:rPr>
                <w:kern w:val="2"/>
                <w:szCs w:val="24"/>
                <w:lang w:val="zh-CN"/>
              </w:rPr>
              <w:t>3</w:t>
            </w:r>
          </w:p>
        </w:tc>
        <w:tc>
          <w:tcPr>
            <w:tcW w:w="1701" w:type="dxa"/>
            <w:tcBorders>
              <w:top w:val="single" w:color="auto" w:sz="6" w:space="0"/>
              <w:left w:val="single" w:color="auto" w:sz="6" w:space="0"/>
              <w:bottom w:val="single" w:color="auto" w:sz="6" w:space="0"/>
              <w:right w:val="single" w:color="auto" w:sz="6" w:space="0"/>
            </w:tcBorders>
            <w:vAlign w:val="center"/>
          </w:tcPr>
          <w:p w14:paraId="54FC5111">
            <w:pPr>
              <w:widowControl w:val="0"/>
              <w:autoSpaceDE w:val="0"/>
              <w:autoSpaceDN w:val="0"/>
              <w:adjustRightInd w:val="0"/>
              <w:spacing w:line="400" w:lineRule="exact"/>
              <w:jc w:val="center"/>
              <w:rPr>
                <w:kern w:val="2"/>
                <w:szCs w:val="24"/>
              </w:rPr>
            </w:pPr>
            <w:r>
              <w:rPr>
                <w:kern w:val="2"/>
                <w:szCs w:val="24"/>
                <w:lang w:val="zh-CN"/>
              </w:rPr>
              <w:t>招标内容</w:t>
            </w:r>
          </w:p>
        </w:tc>
        <w:tc>
          <w:tcPr>
            <w:tcW w:w="7541" w:type="dxa"/>
            <w:tcBorders>
              <w:top w:val="single" w:color="auto" w:sz="6" w:space="0"/>
              <w:left w:val="single" w:color="auto" w:sz="6" w:space="0"/>
              <w:bottom w:val="single" w:color="auto" w:sz="6" w:space="0"/>
              <w:right w:val="single" w:color="auto" w:sz="6" w:space="0"/>
            </w:tcBorders>
            <w:vAlign w:val="center"/>
          </w:tcPr>
          <w:p w14:paraId="40073953">
            <w:pPr>
              <w:spacing w:line="400" w:lineRule="exact"/>
              <w:jc w:val="both"/>
              <w:rPr>
                <w:szCs w:val="24"/>
              </w:rPr>
            </w:pPr>
            <w:r>
              <w:rPr>
                <w:szCs w:val="24"/>
              </w:rPr>
              <w:t>2024-2025年度天然气管道维抢修</w:t>
            </w:r>
          </w:p>
        </w:tc>
      </w:tr>
      <w:tr w14:paraId="3B3038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1F0D175D">
            <w:pPr>
              <w:widowControl w:val="0"/>
              <w:autoSpaceDE w:val="0"/>
              <w:autoSpaceDN w:val="0"/>
              <w:adjustRightInd w:val="0"/>
              <w:spacing w:line="400" w:lineRule="exact"/>
              <w:jc w:val="center"/>
              <w:rPr>
                <w:kern w:val="2"/>
                <w:szCs w:val="24"/>
                <w:lang w:val="zh-CN"/>
              </w:rPr>
            </w:pPr>
            <w:r>
              <w:rPr>
                <w:kern w:val="2"/>
                <w:szCs w:val="24"/>
                <w:lang w:val="zh-CN"/>
              </w:rPr>
              <w:t>4</w:t>
            </w:r>
          </w:p>
        </w:tc>
        <w:tc>
          <w:tcPr>
            <w:tcW w:w="1701" w:type="dxa"/>
            <w:tcBorders>
              <w:top w:val="single" w:color="auto" w:sz="6" w:space="0"/>
              <w:left w:val="single" w:color="auto" w:sz="6" w:space="0"/>
              <w:bottom w:val="single" w:color="auto" w:sz="6" w:space="0"/>
              <w:right w:val="single" w:color="auto" w:sz="6" w:space="0"/>
            </w:tcBorders>
            <w:vAlign w:val="center"/>
          </w:tcPr>
          <w:p w14:paraId="6F9CF14F">
            <w:pPr>
              <w:widowControl w:val="0"/>
              <w:autoSpaceDE w:val="0"/>
              <w:autoSpaceDN w:val="0"/>
              <w:adjustRightInd w:val="0"/>
              <w:spacing w:line="400" w:lineRule="exact"/>
              <w:jc w:val="center"/>
              <w:rPr>
                <w:kern w:val="2"/>
                <w:szCs w:val="24"/>
              </w:rPr>
            </w:pPr>
            <w:r>
              <w:rPr>
                <w:kern w:val="2"/>
                <w:szCs w:val="24"/>
                <w:lang w:val="zh-CN"/>
              </w:rPr>
              <w:t>投标有效期</w:t>
            </w:r>
          </w:p>
        </w:tc>
        <w:tc>
          <w:tcPr>
            <w:tcW w:w="7541" w:type="dxa"/>
            <w:tcBorders>
              <w:top w:val="single" w:color="auto" w:sz="6" w:space="0"/>
              <w:left w:val="single" w:color="auto" w:sz="6" w:space="0"/>
              <w:bottom w:val="single" w:color="auto" w:sz="6" w:space="0"/>
              <w:right w:val="single" w:color="auto" w:sz="6" w:space="0"/>
            </w:tcBorders>
            <w:vAlign w:val="center"/>
          </w:tcPr>
          <w:p w14:paraId="52530ABE">
            <w:pPr>
              <w:widowControl w:val="0"/>
              <w:autoSpaceDE w:val="0"/>
              <w:autoSpaceDN w:val="0"/>
              <w:adjustRightInd w:val="0"/>
              <w:spacing w:line="400" w:lineRule="exact"/>
              <w:jc w:val="both"/>
              <w:rPr>
                <w:kern w:val="2"/>
                <w:szCs w:val="24"/>
              </w:rPr>
            </w:pPr>
            <w:r>
              <w:rPr>
                <w:kern w:val="2"/>
                <w:szCs w:val="24"/>
                <w:lang w:val="zh-CN"/>
              </w:rPr>
              <w:t>六十天（日历日）</w:t>
            </w:r>
          </w:p>
        </w:tc>
      </w:tr>
      <w:tr w14:paraId="5D89BF3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80" w:type="dxa"/>
            <w:tcBorders>
              <w:top w:val="single" w:color="auto" w:sz="6" w:space="0"/>
              <w:left w:val="single" w:color="auto" w:sz="6" w:space="0"/>
              <w:bottom w:val="single" w:color="auto" w:sz="6" w:space="0"/>
              <w:right w:val="single" w:color="auto" w:sz="6" w:space="0"/>
            </w:tcBorders>
            <w:vAlign w:val="center"/>
          </w:tcPr>
          <w:p w14:paraId="2C42EF33">
            <w:pPr>
              <w:widowControl w:val="0"/>
              <w:autoSpaceDE w:val="0"/>
              <w:autoSpaceDN w:val="0"/>
              <w:adjustRightInd w:val="0"/>
              <w:spacing w:line="400" w:lineRule="exact"/>
              <w:jc w:val="center"/>
              <w:rPr>
                <w:kern w:val="2"/>
                <w:szCs w:val="24"/>
                <w:lang w:val="zh-CN"/>
              </w:rPr>
            </w:pPr>
            <w:r>
              <w:rPr>
                <w:rFonts w:hint="eastAsia"/>
                <w:kern w:val="2"/>
                <w:szCs w:val="24"/>
                <w:lang w:val="zh-CN"/>
              </w:rPr>
              <w:t>5</w:t>
            </w:r>
          </w:p>
        </w:tc>
        <w:tc>
          <w:tcPr>
            <w:tcW w:w="1701" w:type="dxa"/>
            <w:tcBorders>
              <w:top w:val="single" w:color="auto" w:sz="6" w:space="0"/>
              <w:left w:val="single" w:color="auto" w:sz="6" w:space="0"/>
              <w:bottom w:val="single" w:color="auto" w:sz="6" w:space="0"/>
              <w:right w:val="single" w:color="auto" w:sz="6" w:space="0"/>
            </w:tcBorders>
            <w:vAlign w:val="center"/>
          </w:tcPr>
          <w:p w14:paraId="2B0683BD">
            <w:pPr>
              <w:widowControl w:val="0"/>
              <w:autoSpaceDE w:val="0"/>
              <w:autoSpaceDN w:val="0"/>
              <w:adjustRightInd w:val="0"/>
              <w:spacing w:line="400" w:lineRule="exact"/>
              <w:jc w:val="center"/>
              <w:rPr>
                <w:kern w:val="2"/>
                <w:szCs w:val="24"/>
                <w:lang w:val="zh-CN"/>
              </w:rPr>
            </w:pPr>
            <w:r>
              <w:rPr>
                <w:kern w:val="2"/>
                <w:szCs w:val="24"/>
                <w:lang w:val="zh-CN"/>
              </w:rPr>
              <w:t>招标代理机构</w:t>
            </w:r>
          </w:p>
        </w:tc>
        <w:tc>
          <w:tcPr>
            <w:tcW w:w="7541" w:type="dxa"/>
            <w:tcBorders>
              <w:top w:val="single" w:color="auto" w:sz="6" w:space="0"/>
              <w:left w:val="single" w:color="auto" w:sz="6" w:space="0"/>
              <w:bottom w:val="single" w:color="auto" w:sz="6" w:space="0"/>
              <w:right w:val="single" w:color="auto" w:sz="6" w:space="0"/>
            </w:tcBorders>
            <w:vAlign w:val="center"/>
          </w:tcPr>
          <w:p w14:paraId="0F58A007">
            <w:pPr>
              <w:widowControl w:val="0"/>
              <w:autoSpaceDE w:val="0"/>
              <w:autoSpaceDN w:val="0"/>
              <w:adjustRightInd w:val="0"/>
              <w:spacing w:line="400" w:lineRule="exact"/>
              <w:jc w:val="both"/>
              <w:rPr>
                <w:kern w:val="2"/>
                <w:szCs w:val="24"/>
              </w:rPr>
            </w:pPr>
            <w:r>
              <w:rPr>
                <w:kern w:val="2"/>
                <w:szCs w:val="24"/>
                <w:lang w:val="zh-CN"/>
              </w:rPr>
              <w:t>苏州市永诚建设咨询有限公司</w:t>
            </w:r>
          </w:p>
          <w:p w14:paraId="4F7430AC">
            <w:pPr>
              <w:widowControl w:val="0"/>
              <w:autoSpaceDE w:val="0"/>
              <w:autoSpaceDN w:val="0"/>
              <w:adjustRightInd w:val="0"/>
              <w:spacing w:line="400" w:lineRule="exact"/>
              <w:jc w:val="both"/>
              <w:rPr>
                <w:kern w:val="2"/>
                <w:szCs w:val="24"/>
              </w:rPr>
            </w:pPr>
            <w:r>
              <w:rPr>
                <w:kern w:val="2"/>
                <w:szCs w:val="24"/>
                <w:lang w:val="zh-CN"/>
              </w:rPr>
              <w:t xml:space="preserve">地址：苏州东吴北路221号   </w:t>
            </w:r>
            <w:r>
              <w:rPr>
                <w:kern w:val="2"/>
                <w:szCs w:val="24"/>
              </w:rPr>
              <w:t xml:space="preserve">       </w:t>
            </w:r>
            <w:r>
              <w:rPr>
                <w:kern w:val="2"/>
                <w:szCs w:val="24"/>
                <w:lang w:val="zh-CN"/>
              </w:rPr>
              <w:t>邮编：</w:t>
            </w:r>
            <w:r>
              <w:rPr>
                <w:kern w:val="2"/>
                <w:szCs w:val="24"/>
              </w:rPr>
              <w:t>21500</w:t>
            </w:r>
            <w:r>
              <w:rPr>
                <w:rFonts w:hint="eastAsia"/>
                <w:kern w:val="2"/>
                <w:szCs w:val="24"/>
              </w:rPr>
              <w:t>7</w:t>
            </w:r>
          </w:p>
          <w:p w14:paraId="0A26D43E">
            <w:pPr>
              <w:widowControl w:val="0"/>
              <w:autoSpaceDE w:val="0"/>
              <w:autoSpaceDN w:val="0"/>
              <w:adjustRightInd w:val="0"/>
              <w:spacing w:line="400" w:lineRule="exact"/>
              <w:jc w:val="both"/>
              <w:rPr>
                <w:kern w:val="2"/>
                <w:szCs w:val="24"/>
                <w:lang w:val="zh-CN"/>
              </w:rPr>
            </w:pPr>
            <w:r>
              <w:rPr>
                <w:kern w:val="2"/>
                <w:szCs w:val="24"/>
                <w:lang w:val="zh-CN"/>
              </w:rPr>
              <w:t xml:space="preserve">联系人：金树梅 </w:t>
            </w:r>
          </w:p>
          <w:p w14:paraId="10A262A2">
            <w:pPr>
              <w:widowControl w:val="0"/>
              <w:autoSpaceDE w:val="0"/>
              <w:autoSpaceDN w:val="0"/>
              <w:adjustRightInd w:val="0"/>
              <w:spacing w:line="400" w:lineRule="exact"/>
              <w:jc w:val="both"/>
              <w:rPr>
                <w:kern w:val="2"/>
                <w:szCs w:val="24"/>
                <w:lang w:val="zh-CN"/>
              </w:rPr>
            </w:pPr>
            <w:r>
              <w:rPr>
                <w:kern w:val="2"/>
                <w:szCs w:val="24"/>
                <w:lang w:val="zh-CN"/>
              </w:rPr>
              <w:t>联系电话：0512-69157588-8</w:t>
            </w:r>
            <w:r>
              <w:rPr>
                <w:rFonts w:hint="eastAsia"/>
                <w:kern w:val="2"/>
                <w:szCs w:val="24"/>
                <w:lang w:val="zh-CN"/>
              </w:rPr>
              <w:t>09</w:t>
            </w:r>
            <w:r>
              <w:rPr>
                <w:kern w:val="2"/>
                <w:szCs w:val="24"/>
                <w:lang w:val="zh-CN"/>
              </w:rPr>
              <w:t xml:space="preserve">     传真：0512-65268668      </w:t>
            </w:r>
          </w:p>
        </w:tc>
      </w:tr>
      <w:tr w14:paraId="3D80A26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41BDBD48">
            <w:pPr>
              <w:widowControl w:val="0"/>
              <w:autoSpaceDE w:val="0"/>
              <w:autoSpaceDN w:val="0"/>
              <w:adjustRightInd w:val="0"/>
              <w:spacing w:line="400" w:lineRule="exact"/>
              <w:jc w:val="center"/>
              <w:rPr>
                <w:kern w:val="2"/>
                <w:szCs w:val="24"/>
              </w:rPr>
            </w:pPr>
            <w:r>
              <w:rPr>
                <w:rFonts w:hint="eastAsia"/>
                <w:kern w:val="2"/>
                <w:szCs w:val="24"/>
              </w:rPr>
              <w:t>6</w:t>
            </w:r>
          </w:p>
        </w:tc>
        <w:tc>
          <w:tcPr>
            <w:tcW w:w="1701" w:type="dxa"/>
            <w:tcBorders>
              <w:top w:val="single" w:color="auto" w:sz="6" w:space="0"/>
              <w:left w:val="single" w:color="auto" w:sz="6" w:space="0"/>
              <w:bottom w:val="single" w:color="auto" w:sz="6" w:space="0"/>
              <w:right w:val="single" w:color="auto" w:sz="6" w:space="0"/>
            </w:tcBorders>
            <w:vAlign w:val="center"/>
          </w:tcPr>
          <w:p w14:paraId="3DE3B67B">
            <w:pPr>
              <w:widowControl w:val="0"/>
              <w:autoSpaceDE w:val="0"/>
              <w:autoSpaceDN w:val="0"/>
              <w:adjustRightInd w:val="0"/>
              <w:spacing w:line="400" w:lineRule="exact"/>
              <w:jc w:val="center"/>
              <w:rPr>
                <w:kern w:val="2"/>
                <w:szCs w:val="24"/>
                <w:lang w:val="zh-CN"/>
              </w:rPr>
            </w:pPr>
            <w:r>
              <w:rPr>
                <w:kern w:val="2"/>
                <w:szCs w:val="24"/>
                <w:lang w:val="zh-CN"/>
              </w:rPr>
              <w:t>标书售价</w:t>
            </w:r>
          </w:p>
        </w:tc>
        <w:tc>
          <w:tcPr>
            <w:tcW w:w="7541" w:type="dxa"/>
            <w:tcBorders>
              <w:top w:val="single" w:color="auto" w:sz="6" w:space="0"/>
              <w:left w:val="single" w:color="auto" w:sz="6" w:space="0"/>
              <w:bottom w:val="single" w:color="auto" w:sz="6" w:space="0"/>
              <w:right w:val="single" w:color="auto" w:sz="6" w:space="0"/>
            </w:tcBorders>
            <w:vAlign w:val="center"/>
          </w:tcPr>
          <w:p w14:paraId="10C594AF">
            <w:pPr>
              <w:widowControl w:val="0"/>
              <w:autoSpaceDE w:val="0"/>
              <w:autoSpaceDN w:val="0"/>
              <w:adjustRightInd w:val="0"/>
              <w:spacing w:line="400" w:lineRule="exact"/>
              <w:jc w:val="both"/>
              <w:rPr>
                <w:color w:val="000000"/>
                <w:kern w:val="2"/>
                <w:szCs w:val="24"/>
                <w:lang w:val="zh-CN"/>
              </w:rPr>
            </w:pPr>
            <w:r>
              <w:rPr>
                <w:color w:val="000000"/>
                <w:kern w:val="2"/>
                <w:szCs w:val="24"/>
                <w:lang w:val="zh-CN"/>
              </w:rPr>
              <w:t>人民币</w:t>
            </w:r>
            <w:r>
              <w:rPr>
                <w:rFonts w:hint="eastAsia"/>
                <w:color w:val="000000"/>
                <w:kern w:val="2"/>
                <w:szCs w:val="24"/>
                <w:lang w:val="zh-CN"/>
              </w:rPr>
              <w:t>伍</w:t>
            </w:r>
            <w:r>
              <w:rPr>
                <w:color w:val="000000"/>
                <w:kern w:val="2"/>
                <w:szCs w:val="24"/>
                <w:lang w:val="zh-CN"/>
              </w:rPr>
              <w:t>佰元</w:t>
            </w:r>
            <w:r>
              <w:rPr>
                <w:color w:val="000000"/>
                <w:kern w:val="2"/>
                <w:szCs w:val="24"/>
              </w:rPr>
              <w:t>/</w:t>
            </w:r>
            <w:r>
              <w:rPr>
                <w:color w:val="000000"/>
                <w:kern w:val="2"/>
                <w:szCs w:val="24"/>
                <w:lang w:val="zh-CN"/>
              </w:rPr>
              <w:t>份，标书售后一概不退。</w:t>
            </w:r>
          </w:p>
        </w:tc>
      </w:tr>
      <w:tr w14:paraId="0811D43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80" w:type="dxa"/>
            <w:tcBorders>
              <w:top w:val="single" w:color="auto" w:sz="6" w:space="0"/>
              <w:left w:val="single" w:color="auto" w:sz="6" w:space="0"/>
              <w:bottom w:val="single" w:color="auto" w:sz="6" w:space="0"/>
              <w:right w:val="single" w:color="auto" w:sz="6" w:space="0"/>
            </w:tcBorders>
            <w:vAlign w:val="center"/>
          </w:tcPr>
          <w:p w14:paraId="58BA0C0B">
            <w:pPr>
              <w:widowControl w:val="0"/>
              <w:autoSpaceDE w:val="0"/>
              <w:autoSpaceDN w:val="0"/>
              <w:adjustRightInd w:val="0"/>
              <w:spacing w:line="400" w:lineRule="exact"/>
              <w:jc w:val="center"/>
              <w:rPr>
                <w:kern w:val="2"/>
                <w:szCs w:val="24"/>
                <w:lang w:val="zh-CN"/>
              </w:rPr>
            </w:pPr>
            <w:r>
              <w:rPr>
                <w:rFonts w:hint="eastAsia"/>
                <w:kern w:val="2"/>
                <w:szCs w:val="24"/>
                <w:lang w:val="zh-CN"/>
              </w:rPr>
              <w:t>7</w:t>
            </w:r>
          </w:p>
        </w:tc>
        <w:tc>
          <w:tcPr>
            <w:tcW w:w="1701" w:type="dxa"/>
            <w:tcBorders>
              <w:top w:val="single" w:color="auto" w:sz="6" w:space="0"/>
              <w:left w:val="single" w:color="auto" w:sz="6" w:space="0"/>
              <w:bottom w:val="single" w:color="auto" w:sz="6" w:space="0"/>
              <w:right w:val="single" w:color="auto" w:sz="6" w:space="0"/>
            </w:tcBorders>
            <w:vAlign w:val="center"/>
          </w:tcPr>
          <w:p w14:paraId="577CE564">
            <w:pPr>
              <w:widowControl w:val="0"/>
              <w:autoSpaceDE w:val="0"/>
              <w:autoSpaceDN w:val="0"/>
              <w:adjustRightInd w:val="0"/>
              <w:spacing w:line="400" w:lineRule="exact"/>
              <w:jc w:val="center"/>
              <w:rPr>
                <w:kern w:val="2"/>
                <w:szCs w:val="24"/>
              </w:rPr>
            </w:pPr>
            <w:r>
              <w:rPr>
                <w:kern w:val="2"/>
                <w:szCs w:val="24"/>
                <w:lang w:val="zh-CN"/>
              </w:rPr>
              <w:t>发售标书</w:t>
            </w:r>
          </w:p>
        </w:tc>
        <w:tc>
          <w:tcPr>
            <w:tcW w:w="7541" w:type="dxa"/>
            <w:tcBorders>
              <w:top w:val="single" w:color="auto" w:sz="6" w:space="0"/>
              <w:left w:val="single" w:color="auto" w:sz="6" w:space="0"/>
              <w:bottom w:val="single" w:color="auto" w:sz="6" w:space="0"/>
              <w:right w:val="single" w:color="auto" w:sz="6" w:space="0"/>
            </w:tcBorders>
            <w:vAlign w:val="center"/>
          </w:tcPr>
          <w:p w14:paraId="1304BE49">
            <w:pPr>
              <w:widowControl w:val="0"/>
              <w:autoSpaceDE w:val="0"/>
              <w:autoSpaceDN w:val="0"/>
              <w:adjustRightInd w:val="0"/>
              <w:spacing w:line="400" w:lineRule="exact"/>
              <w:jc w:val="both"/>
              <w:rPr>
                <w:color w:val="000000" w:themeColor="text1"/>
                <w:kern w:val="2"/>
                <w:szCs w:val="24"/>
                <w14:textFill>
                  <w14:solidFill>
                    <w14:schemeClr w14:val="tx1"/>
                  </w14:solidFill>
                </w14:textFill>
              </w:rPr>
            </w:pPr>
            <w:r>
              <w:rPr>
                <w:color w:val="000000" w:themeColor="text1"/>
                <w:kern w:val="2"/>
                <w:szCs w:val="24"/>
                <w:lang w:val="zh-CN"/>
                <w14:textFill>
                  <w14:solidFill>
                    <w14:schemeClr w14:val="tx1"/>
                  </w14:solidFill>
                </w14:textFill>
              </w:rPr>
              <w:t>时间：</w:t>
            </w:r>
            <w:r>
              <w:rPr>
                <w:color w:val="000000" w:themeColor="text1"/>
                <w:kern w:val="2"/>
                <w:szCs w:val="24"/>
                <w14:textFill>
                  <w14:solidFill>
                    <w14:schemeClr w14:val="tx1"/>
                  </w14:solidFill>
                </w14:textFill>
              </w:rPr>
              <w:t>自招标公告发布之日起~</w:t>
            </w:r>
            <w:r>
              <w:rPr>
                <w:color w:val="FF0000"/>
                <w:kern w:val="2"/>
                <w:szCs w:val="24"/>
              </w:rPr>
              <w:t>20</w:t>
            </w:r>
            <w:r>
              <w:rPr>
                <w:rFonts w:hint="eastAsia"/>
                <w:color w:val="FF0000"/>
                <w:kern w:val="2"/>
                <w:szCs w:val="24"/>
              </w:rPr>
              <w:t>2</w:t>
            </w:r>
            <w:r>
              <w:rPr>
                <w:color w:val="FF0000"/>
                <w:kern w:val="2"/>
                <w:szCs w:val="24"/>
              </w:rPr>
              <w:t>4年9月  日</w:t>
            </w:r>
            <w:r>
              <w:rPr>
                <w:color w:val="000000" w:themeColor="text1"/>
                <w:kern w:val="2"/>
                <w:szCs w:val="24"/>
                <w14:textFill>
                  <w14:solidFill>
                    <w14:schemeClr w14:val="tx1"/>
                  </w14:solidFill>
                </w14:textFill>
              </w:rPr>
              <w:t>每日8：30~11：00，13：30~1</w:t>
            </w:r>
            <w:r>
              <w:rPr>
                <w:rFonts w:hint="eastAsia"/>
                <w:color w:val="000000" w:themeColor="text1"/>
                <w:kern w:val="2"/>
                <w:szCs w:val="24"/>
                <w14:textFill>
                  <w14:solidFill>
                    <w14:schemeClr w14:val="tx1"/>
                  </w14:solidFill>
                </w14:textFill>
              </w:rPr>
              <w:t>6</w:t>
            </w:r>
            <w:r>
              <w:rPr>
                <w:color w:val="000000" w:themeColor="text1"/>
                <w:kern w:val="2"/>
                <w:szCs w:val="24"/>
                <w14:textFill>
                  <w14:solidFill>
                    <w14:schemeClr w14:val="tx1"/>
                  </w14:solidFill>
                </w14:textFill>
              </w:rPr>
              <w:t>：00（节假日除外）</w:t>
            </w:r>
          </w:p>
          <w:p w14:paraId="36ADD8DA">
            <w:pPr>
              <w:widowControl w:val="0"/>
              <w:autoSpaceDE w:val="0"/>
              <w:autoSpaceDN w:val="0"/>
              <w:adjustRightInd w:val="0"/>
              <w:spacing w:line="400" w:lineRule="exact"/>
              <w:jc w:val="both"/>
              <w:rPr>
                <w:color w:val="000000" w:themeColor="text1"/>
                <w:kern w:val="2"/>
                <w:szCs w:val="24"/>
                <w14:textFill>
                  <w14:solidFill>
                    <w14:schemeClr w14:val="tx1"/>
                  </w14:solidFill>
                </w14:textFill>
              </w:rPr>
            </w:pPr>
            <w:r>
              <w:rPr>
                <w:color w:val="000000" w:themeColor="text1"/>
                <w:kern w:val="2"/>
                <w:szCs w:val="24"/>
                <w:lang w:val="zh-CN"/>
                <w14:textFill>
                  <w14:solidFill>
                    <w14:schemeClr w14:val="tx1"/>
                  </w14:solidFill>
                </w14:textFill>
              </w:rPr>
              <w:t>地点：苏州东吴北路221号   苏州市永诚建设咨询有限公司</w:t>
            </w:r>
          </w:p>
        </w:tc>
      </w:tr>
      <w:tr w14:paraId="3B2ADDA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03BD0CDA">
            <w:pPr>
              <w:widowControl w:val="0"/>
              <w:autoSpaceDE w:val="0"/>
              <w:autoSpaceDN w:val="0"/>
              <w:adjustRightInd w:val="0"/>
              <w:spacing w:line="400" w:lineRule="exact"/>
              <w:jc w:val="center"/>
              <w:rPr>
                <w:kern w:val="2"/>
                <w:szCs w:val="24"/>
                <w:lang w:val="zh-CN"/>
              </w:rPr>
            </w:pPr>
            <w:r>
              <w:rPr>
                <w:rFonts w:hint="eastAsia"/>
                <w:kern w:val="2"/>
                <w:szCs w:val="24"/>
                <w:lang w:val="zh-CN"/>
              </w:rPr>
              <w:t>8</w:t>
            </w:r>
          </w:p>
        </w:tc>
        <w:tc>
          <w:tcPr>
            <w:tcW w:w="1701" w:type="dxa"/>
            <w:tcBorders>
              <w:top w:val="single" w:color="auto" w:sz="6" w:space="0"/>
              <w:left w:val="single" w:color="auto" w:sz="6" w:space="0"/>
              <w:bottom w:val="single" w:color="auto" w:sz="6" w:space="0"/>
              <w:right w:val="single" w:color="auto" w:sz="6" w:space="0"/>
            </w:tcBorders>
            <w:vAlign w:val="center"/>
          </w:tcPr>
          <w:p w14:paraId="377CC1C6">
            <w:pPr>
              <w:widowControl w:val="0"/>
              <w:autoSpaceDE w:val="0"/>
              <w:autoSpaceDN w:val="0"/>
              <w:adjustRightInd w:val="0"/>
              <w:spacing w:line="400" w:lineRule="exact"/>
              <w:jc w:val="center"/>
              <w:rPr>
                <w:kern w:val="2"/>
                <w:szCs w:val="24"/>
                <w:lang w:val="zh-CN"/>
              </w:rPr>
            </w:pPr>
            <w:r>
              <w:rPr>
                <w:kern w:val="2"/>
                <w:szCs w:val="24"/>
                <w:lang w:val="zh-CN"/>
              </w:rPr>
              <w:t>投标文件份数</w:t>
            </w:r>
          </w:p>
        </w:tc>
        <w:tc>
          <w:tcPr>
            <w:tcW w:w="7541" w:type="dxa"/>
            <w:tcBorders>
              <w:top w:val="single" w:color="auto" w:sz="6" w:space="0"/>
              <w:left w:val="single" w:color="auto" w:sz="6" w:space="0"/>
              <w:bottom w:val="single" w:color="auto" w:sz="6" w:space="0"/>
              <w:right w:val="single" w:color="auto" w:sz="6" w:space="0"/>
            </w:tcBorders>
            <w:vAlign w:val="center"/>
          </w:tcPr>
          <w:p w14:paraId="277362C6">
            <w:pPr>
              <w:widowControl w:val="0"/>
              <w:autoSpaceDE w:val="0"/>
              <w:autoSpaceDN w:val="0"/>
              <w:adjustRightInd w:val="0"/>
              <w:spacing w:line="400" w:lineRule="exact"/>
              <w:jc w:val="both"/>
              <w:rPr>
                <w:color w:val="000000" w:themeColor="text1"/>
                <w:kern w:val="2"/>
                <w:szCs w:val="24"/>
                <w14:textFill>
                  <w14:solidFill>
                    <w14:schemeClr w14:val="tx1"/>
                  </w14:solidFill>
                </w14:textFill>
              </w:rPr>
            </w:pPr>
            <w:r>
              <w:rPr>
                <w:color w:val="000000" w:themeColor="text1"/>
                <w:kern w:val="2"/>
                <w:szCs w:val="24"/>
                <w:lang w:val="zh-CN"/>
                <w14:textFill>
                  <w14:solidFill>
                    <w14:schemeClr w14:val="tx1"/>
                  </w14:solidFill>
                </w14:textFill>
              </w:rPr>
              <w:t>正本份数为一份  副本份数为</w:t>
            </w:r>
            <w:r>
              <w:rPr>
                <w:rFonts w:hint="eastAsia"/>
                <w:color w:val="000000" w:themeColor="text1"/>
                <w:kern w:val="2"/>
                <w:szCs w:val="24"/>
                <w:lang w:val="zh-CN"/>
                <w14:textFill>
                  <w14:solidFill>
                    <w14:schemeClr w14:val="tx1"/>
                  </w14:solidFill>
                </w14:textFill>
              </w:rPr>
              <w:t>三</w:t>
            </w:r>
            <w:r>
              <w:rPr>
                <w:color w:val="000000" w:themeColor="text1"/>
                <w:kern w:val="2"/>
                <w:szCs w:val="24"/>
                <w:lang w:val="zh-CN"/>
                <w14:textFill>
                  <w14:solidFill>
                    <w14:schemeClr w14:val="tx1"/>
                  </w14:solidFill>
                </w14:textFill>
              </w:rPr>
              <w:t>份</w:t>
            </w:r>
            <w:r>
              <w:rPr>
                <w:rFonts w:hint="eastAsia"/>
                <w:color w:val="000000" w:themeColor="text1"/>
                <w:kern w:val="2"/>
                <w:szCs w:val="24"/>
                <w:lang w:val="zh-CN"/>
                <w14:textFill>
                  <w14:solidFill>
                    <w14:schemeClr w14:val="tx1"/>
                  </w14:solidFill>
                </w14:textFill>
              </w:rPr>
              <w:t>（电子投标文件递交书面投标文件时一并提交，以U盘形式）</w:t>
            </w:r>
          </w:p>
        </w:tc>
      </w:tr>
      <w:tr w14:paraId="4C28F5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121223D0">
            <w:pPr>
              <w:widowControl w:val="0"/>
              <w:autoSpaceDE w:val="0"/>
              <w:autoSpaceDN w:val="0"/>
              <w:adjustRightInd w:val="0"/>
              <w:spacing w:line="400" w:lineRule="exact"/>
              <w:jc w:val="center"/>
              <w:rPr>
                <w:kern w:val="2"/>
                <w:szCs w:val="24"/>
                <w:lang w:val="zh-CN"/>
              </w:rPr>
            </w:pPr>
            <w:r>
              <w:rPr>
                <w:rFonts w:hint="eastAsia"/>
                <w:kern w:val="2"/>
                <w:szCs w:val="24"/>
                <w:lang w:val="zh-CN"/>
              </w:rPr>
              <w:t>9</w:t>
            </w:r>
          </w:p>
        </w:tc>
        <w:tc>
          <w:tcPr>
            <w:tcW w:w="1701" w:type="dxa"/>
            <w:tcBorders>
              <w:top w:val="single" w:color="auto" w:sz="6" w:space="0"/>
              <w:left w:val="single" w:color="auto" w:sz="6" w:space="0"/>
              <w:bottom w:val="single" w:color="auto" w:sz="6" w:space="0"/>
              <w:right w:val="single" w:color="auto" w:sz="6" w:space="0"/>
            </w:tcBorders>
            <w:vAlign w:val="center"/>
          </w:tcPr>
          <w:p w14:paraId="27E2B164">
            <w:pPr>
              <w:widowControl w:val="0"/>
              <w:autoSpaceDE w:val="0"/>
              <w:autoSpaceDN w:val="0"/>
              <w:adjustRightInd w:val="0"/>
              <w:spacing w:line="400" w:lineRule="exact"/>
              <w:jc w:val="center"/>
              <w:rPr>
                <w:kern w:val="2"/>
                <w:szCs w:val="24"/>
                <w:lang w:val="zh-CN"/>
              </w:rPr>
            </w:pPr>
            <w:r>
              <w:rPr>
                <w:kern w:val="2"/>
                <w:szCs w:val="24"/>
                <w:lang w:val="zh-CN"/>
              </w:rPr>
              <w:t>投标时间</w:t>
            </w:r>
          </w:p>
        </w:tc>
        <w:tc>
          <w:tcPr>
            <w:tcW w:w="7541" w:type="dxa"/>
            <w:tcBorders>
              <w:top w:val="single" w:color="auto" w:sz="6" w:space="0"/>
              <w:left w:val="single" w:color="auto" w:sz="6" w:space="0"/>
              <w:bottom w:val="single" w:color="auto" w:sz="6" w:space="0"/>
              <w:right w:val="single" w:color="auto" w:sz="6" w:space="0"/>
            </w:tcBorders>
            <w:vAlign w:val="center"/>
          </w:tcPr>
          <w:p w14:paraId="6FA450E3">
            <w:pPr>
              <w:widowControl w:val="0"/>
              <w:autoSpaceDE w:val="0"/>
              <w:autoSpaceDN w:val="0"/>
              <w:adjustRightInd w:val="0"/>
              <w:spacing w:line="400" w:lineRule="exact"/>
              <w:jc w:val="both"/>
              <w:rPr>
                <w:color w:val="000000" w:themeColor="text1"/>
                <w:kern w:val="2"/>
                <w:szCs w:val="24"/>
                <w:lang w:val="zh-CN"/>
                <w14:textFill>
                  <w14:solidFill>
                    <w14:schemeClr w14:val="tx1"/>
                  </w14:solidFill>
                </w14:textFill>
              </w:rPr>
            </w:pPr>
            <w:r>
              <w:rPr>
                <w:color w:val="FF0000"/>
                <w:kern w:val="2"/>
                <w:szCs w:val="24"/>
              </w:rPr>
              <w:t>20</w:t>
            </w:r>
            <w:r>
              <w:rPr>
                <w:rFonts w:hint="eastAsia"/>
                <w:color w:val="FF0000"/>
                <w:kern w:val="2"/>
                <w:szCs w:val="24"/>
              </w:rPr>
              <w:t>2</w:t>
            </w:r>
            <w:r>
              <w:rPr>
                <w:color w:val="FF0000"/>
                <w:kern w:val="2"/>
                <w:szCs w:val="24"/>
              </w:rPr>
              <w:t>4年9月  日</w:t>
            </w:r>
            <w:r>
              <w:rPr>
                <w:color w:val="000000" w:themeColor="text1"/>
                <w:kern w:val="2"/>
                <w:szCs w:val="24"/>
                <w:lang w:val="zh-CN"/>
                <w14:textFill>
                  <w14:solidFill>
                    <w14:schemeClr w14:val="tx1"/>
                  </w14:solidFill>
                </w14:textFill>
              </w:rPr>
              <w:t>1</w:t>
            </w:r>
            <w:r>
              <w:rPr>
                <w:rFonts w:hint="eastAsia"/>
                <w:color w:val="000000" w:themeColor="text1"/>
                <w:kern w:val="2"/>
                <w:szCs w:val="24"/>
                <w:lang w:val="zh-CN"/>
                <w14:textFill>
                  <w14:solidFill>
                    <w14:schemeClr w14:val="tx1"/>
                  </w14:solidFill>
                </w14:textFill>
              </w:rPr>
              <w:t>4</w:t>
            </w:r>
            <w:r>
              <w:rPr>
                <w:color w:val="000000" w:themeColor="text1"/>
                <w:kern w:val="2"/>
                <w:szCs w:val="24"/>
                <w:lang w:val="zh-CN"/>
                <w14:textFill>
                  <w14:solidFill>
                    <w14:schemeClr w14:val="tx1"/>
                  </w14:solidFill>
                </w14:textFill>
              </w:rPr>
              <w:t>：00~1</w:t>
            </w:r>
            <w:r>
              <w:rPr>
                <w:rFonts w:hint="eastAsia"/>
                <w:color w:val="000000" w:themeColor="text1"/>
                <w:kern w:val="2"/>
                <w:szCs w:val="24"/>
                <w:lang w:val="zh-CN"/>
                <w14:textFill>
                  <w14:solidFill>
                    <w14:schemeClr w14:val="tx1"/>
                  </w14:solidFill>
                </w14:textFill>
              </w:rPr>
              <w:t>4</w:t>
            </w:r>
            <w:r>
              <w:rPr>
                <w:color w:val="000000" w:themeColor="text1"/>
                <w:kern w:val="2"/>
                <w:szCs w:val="24"/>
                <w:lang w:val="zh-CN"/>
                <w14:textFill>
                  <w14:solidFill>
                    <w14:schemeClr w14:val="tx1"/>
                  </w14:solidFill>
                </w14:textFill>
              </w:rPr>
              <w:t>：</w:t>
            </w:r>
            <w:r>
              <w:rPr>
                <w:rFonts w:hint="eastAsia"/>
                <w:color w:val="000000" w:themeColor="text1"/>
                <w:kern w:val="2"/>
                <w:szCs w:val="24"/>
                <w:lang w:val="zh-CN"/>
                <w14:textFill>
                  <w14:solidFill>
                    <w14:schemeClr w14:val="tx1"/>
                  </w14:solidFill>
                </w14:textFill>
              </w:rPr>
              <w:t>3</w:t>
            </w:r>
            <w:r>
              <w:rPr>
                <w:color w:val="000000" w:themeColor="text1"/>
                <w:kern w:val="2"/>
                <w:szCs w:val="24"/>
                <w:lang w:val="zh-CN"/>
                <w14:textFill>
                  <w14:solidFill>
                    <w14:schemeClr w14:val="tx1"/>
                  </w14:solidFill>
                </w14:textFill>
              </w:rPr>
              <w:t>0（北京时间）</w:t>
            </w:r>
          </w:p>
        </w:tc>
      </w:tr>
      <w:tr w14:paraId="43BB4AE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537BF5BA">
            <w:pPr>
              <w:widowControl w:val="0"/>
              <w:autoSpaceDE w:val="0"/>
              <w:autoSpaceDN w:val="0"/>
              <w:adjustRightInd w:val="0"/>
              <w:spacing w:line="400" w:lineRule="exact"/>
              <w:jc w:val="center"/>
              <w:rPr>
                <w:kern w:val="2"/>
                <w:szCs w:val="24"/>
                <w:lang w:val="zh-CN"/>
              </w:rPr>
            </w:pPr>
            <w:r>
              <w:rPr>
                <w:kern w:val="2"/>
                <w:szCs w:val="24"/>
                <w:lang w:val="zh-CN"/>
              </w:rPr>
              <w:t>1</w:t>
            </w:r>
            <w:r>
              <w:rPr>
                <w:rFonts w:hint="eastAsia"/>
                <w:kern w:val="2"/>
                <w:szCs w:val="24"/>
                <w:lang w:val="zh-CN"/>
              </w:rPr>
              <w:t>0</w:t>
            </w:r>
          </w:p>
        </w:tc>
        <w:tc>
          <w:tcPr>
            <w:tcW w:w="1701" w:type="dxa"/>
            <w:tcBorders>
              <w:top w:val="single" w:color="auto" w:sz="6" w:space="0"/>
              <w:left w:val="single" w:color="auto" w:sz="6" w:space="0"/>
              <w:bottom w:val="single" w:color="auto" w:sz="6" w:space="0"/>
              <w:right w:val="single" w:color="auto" w:sz="6" w:space="0"/>
            </w:tcBorders>
            <w:vAlign w:val="center"/>
          </w:tcPr>
          <w:p w14:paraId="22D7C5FD">
            <w:pPr>
              <w:widowControl w:val="0"/>
              <w:autoSpaceDE w:val="0"/>
              <w:autoSpaceDN w:val="0"/>
              <w:adjustRightInd w:val="0"/>
              <w:spacing w:line="400" w:lineRule="exact"/>
              <w:jc w:val="center"/>
              <w:rPr>
                <w:kern w:val="2"/>
                <w:szCs w:val="24"/>
              </w:rPr>
            </w:pPr>
            <w:r>
              <w:rPr>
                <w:kern w:val="2"/>
                <w:szCs w:val="24"/>
                <w:lang w:val="zh-CN"/>
              </w:rPr>
              <w:t>投标文件递交地点</w:t>
            </w:r>
          </w:p>
        </w:tc>
        <w:tc>
          <w:tcPr>
            <w:tcW w:w="7541" w:type="dxa"/>
            <w:tcBorders>
              <w:top w:val="single" w:color="auto" w:sz="6" w:space="0"/>
              <w:left w:val="single" w:color="auto" w:sz="6" w:space="0"/>
              <w:bottom w:val="single" w:color="auto" w:sz="6" w:space="0"/>
              <w:right w:val="single" w:color="auto" w:sz="6" w:space="0"/>
            </w:tcBorders>
            <w:vAlign w:val="center"/>
          </w:tcPr>
          <w:p w14:paraId="1E0027F3">
            <w:pPr>
              <w:widowControl w:val="0"/>
              <w:autoSpaceDE w:val="0"/>
              <w:autoSpaceDN w:val="0"/>
              <w:adjustRightInd w:val="0"/>
              <w:spacing w:line="400" w:lineRule="exact"/>
              <w:jc w:val="both"/>
              <w:rPr>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t>苏州市东吴北路221号会议室</w:t>
            </w:r>
          </w:p>
        </w:tc>
      </w:tr>
      <w:tr w14:paraId="2B12B43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132B1353">
            <w:pPr>
              <w:widowControl w:val="0"/>
              <w:autoSpaceDE w:val="0"/>
              <w:autoSpaceDN w:val="0"/>
              <w:adjustRightInd w:val="0"/>
              <w:spacing w:line="400" w:lineRule="exact"/>
              <w:jc w:val="center"/>
              <w:rPr>
                <w:kern w:val="2"/>
                <w:szCs w:val="24"/>
                <w:lang w:val="zh-CN"/>
              </w:rPr>
            </w:pPr>
            <w:r>
              <w:rPr>
                <w:kern w:val="2"/>
                <w:szCs w:val="24"/>
                <w:lang w:val="zh-CN"/>
              </w:rPr>
              <w:t>1</w:t>
            </w:r>
            <w:r>
              <w:rPr>
                <w:rFonts w:hint="eastAsia"/>
                <w:kern w:val="2"/>
                <w:szCs w:val="24"/>
                <w:lang w:val="zh-CN"/>
              </w:rPr>
              <w:t>1</w:t>
            </w:r>
          </w:p>
        </w:tc>
        <w:tc>
          <w:tcPr>
            <w:tcW w:w="1701" w:type="dxa"/>
            <w:tcBorders>
              <w:top w:val="single" w:color="auto" w:sz="6" w:space="0"/>
              <w:left w:val="single" w:color="auto" w:sz="6" w:space="0"/>
              <w:bottom w:val="single" w:color="auto" w:sz="6" w:space="0"/>
              <w:right w:val="single" w:color="auto" w:sz="6" w:space="0"/>
            </w:tcBorders>
            <w:vAlign w:val="center"/>
          </w:tcPr>
          <w:p w14:paraId="53650270">
            <w:pPr>
              <w:widowControl w:val="0"/>
              <w:autoSpaceDE w:val="0"/>
              <w:autoSpaceDN w:val="0"/>
              <w:adjustRightInd w:val="0"/>
              <w:spacing w:line="400" w:lineRule="exact"/>
              <w:jc w:val="center"/>
              <w:rPr>
                <w:color w:val="000000"/>
                <w:kern w:val="2"/>
                <w:szCs w:val="24"/>
                <w:lang w:val="zh-CN"/>
              </w:rPr>
            </w:pPr>
            <w:r>
              <w:rPr>
                <w:color w:val="000000"/>
                <w:kern w:val="2"/>
                <w:szCs w:val="24"/>
                <w:lang w:val="zh-CN"/>
              </w:rPr>
              <w:t>开标时间</w:t>
            </w:r>
          </w:p>
          <w:p w14:paraId="2D69B436">
            <w:pPr>
              <w:widowControl w:val="0"/>
              <w:autoSpaceDE w:val="0"/>
              <w:autoSpaceDN w:val="0"/>
              <w:adjustRightInd w:val="0"/>
              <w:spacing w:line="400" w:lineRule="exact"/>
              <w:jc w:val="center"/>
              <w:rPr>
                <w:color w:val="000000"/>
                <w:kern w:val="2"/>
                <w:szCs w:val="24"/>
              </w:rPr>
            </w:pPr>
            <w:r>
              <w:rPr>
                <w:color w:val="000000"/>
                <w:kern w:val="2"/>
                <w:szCs w:val="24"/>
                <w:lang w:val="zh-CN"/>
              </w:rPr>
              <w:t>地点</w:t>
            </w:r>
          </w:p>
        </w:tc>
        <w:tc>
          <w:tcPr>
            <w:tcW w:w="7541" w:type="dxa"/>
            <w:tcBorders>
              <w:top w:val="single" w:color="auto" w:sz="6" w:space="0"/>
              <w:left w:val="single" w:color="auto" w:sz="6" w:space="0"/>
              <w:bottom w:val="single" w:color="auto" w:sz="6" w:space="0"/>
              <w:right w:val="single" w:color="auto" w:sz="6" w:space="0"/>
            </w:tcBorders>
            <w:vAlign w:val="center"/>
          </w:tcPr>
          <w:p w14:paraId="279B6776">
            <w:pPr>
              <w:widowControl w:val="0"/>
              <w:autoSpaceDE w:val="0"/>
              <w:autoSpaceDN w:val="0"/>
              <w:adjustRightInd w:val="0"/>
              <w:spacing w:line="400" w:lineRule="exact"/>
              <w:jc w:val="both"/>
              <w:rPr>
                <w:color w:val="000000" w:themeColor="text1"/>
                <w:kern w:val="2"/>
                <w:szCs w:val="24"/>
                <w:lang w:val="zh-CN"/>
                <w14:textFill>
                  <w14:solidFill>
                    <w14:schemeClr w14:val="tx1"/>
                  </w14:solidFill>
                </w14:textFill>
              </w:rPr>
            </w:pPr>
            <w:r>
              <w:rPr>
                <w:color w:val="000000" w:themeColor="text1"/>
                <w:kern w:val="2"/>
                <w:szCs w:val="24"/>
                <w:lang w:val="zh-CN"/>
                <w14:textFill>
                  <w14:solidFill>
                    <w14:schemeClr w14:val="tx1"/>
                  </w14:solidFill>
                </w14:textFill>
              </w:rPr>
              <w:t>时间：</w:t>
            </w:r>
            <w:r>
              <w:rPr>
                <w:color w:val="FF0000"/>
                <w:kern w:val="2"/>
                <w:szCs w:val="24"/>
              </w:rPr>
              <w:t>20</w:t>
            </w:r>
            <w:r>
              <w:rPr>
                <w:rFonts w:hint="eastAsia"/>
                <w:color w:val="FF0000"/>
                <w:kern w:val="2"/>
                <w:szCs w:val="24"/>
              </w:rPr>
              <w:t>2</w:t>
            </w:r>
            <w:r>
              <w:rPr>
                <w:color w:val="FF0000"/>
                <w:kern w:val="2"/>
                <w:szCs w:val="24"/>
              </w:rPr>
              <w:t>4年9月  日</w:t>
            </w:r>
            <w:r>
              <w:rPr>
                <w:color w:val="000000" w:themeColor="text1"/>
                <w:kern w:val="2"/>
                <w:szCs w:val="24"/>
                <w:lang w:val="zh-CN"/>
                <w14:textFill>
                  <w14:solidFill>
                    <w14:schemeClr w14:val="tx1"/>
                  </w14:solidFill>
                </w14:textFill>
              </w:rPr>
              <w:t>1</w:t>
            </w:r>
            <w:r>
              <w:rPr>
                <w:rFonts w:hint="eastAsia"/>
                <w:color w:val="000000" w:themeColor="text1"/>
                <w:kern w:val="2"/>
                <w:szCs w:val="24"/>
                <w:lang w:val="zh-CN"/>
                <w14:textFill>
                  <w14:solidFill>
                    <w14:schemeClr w14:val="tx1"/>
                  </w14:solidFill>
                </w14:textFill>
              </w:rPr>
              <w:t>4</w:t>
            </w:r>
            <w:r>
              <w:rPr>
                <w:color w:val="000000" w:themeColor="text1"/>
                <w:kern w:val="2"/>
                <w:szCs w:val="24"/>
                <w:lang w:val="zh-CN"/>
                <w14:textFill>
                  <w14:solidFill>
                    <w14:schemeClr w14:val="tx1"/>
                  </w14:solidFill>
                </w14:textFill>
              </w:rPr>
              <w:t>：</w:t>
            </w:r>
            <w:r>
              <w:rPr>
                <w:rFonts w:hint="eastAsia"/>
                <w:color w:val="000000" w:themeColor="text1"/>
                <w:kern w:val="2"/>
                <w:szCs w:val="24"/>
                <w:lang w:val="zh-CN"/>
                <w14:textFill>
                  <w14:solidFill>
                    <w14:schemeClr w14:val="tx1"/>
                  </w14:solidFill>
                </w14:textFill>
              </w:rPr>
              <w:t>3</w:t>
            </w:r>
            <w:r>
              <w:rPr>
                <w:color w:val="000000" w:themeColor="text1"/>
                <w:kern w:val="2"/>
                <w:szCs w:val="24"/>
                <w:lang w:val="zh-CN"/>
                <w14:textFill>
                  <w14:solidFill>
                    <w14:schemeClr w14:val="tx1"/>
                  </w14:solidFill>
                </w14:textFill>
              </w:rPr>
              <w:t>0（北京时间）</w:t>
            </w:r>
          </w:p>
          <w:p w14:paraId="7A6B3491">
            <w:pPr>
              <w:widowControl w:val="0"/>
              <w:autoSpaceDE w:val="0"/>
              <w:autoSpaceDN w:val="0"/>
              <w:adjustRightInd w:val="0"/>
              <w:spacing w:line="400" w:lineRule="exact"/>
              <w:jc w:val="both"/>
              <w:rPr>
                <w:color w:val="000000" w:themeColor="text1"/>
                <w:kern w:val="2"/>
                <w:szCs w:val="24"/>
                <w:lang w:val="zh-CN"/>
                <w14:textFill>
                  <w14:solidFill>
                    <w14:schemeClr w14:val="tx1"/>
                  </w14:solidFill>
                </w14:textFill>
              </w:rPr>
            </w:pPr>
            <w:r>
              <w:rPr>
                <w:color w:val="000000" w:themeColor="text1"/>
                <w:kern w:val="2"/>
                <w:szCs w:val="24"/>
                <w:lang w:val="zh-CN"/>
                <w14:textFill>
                  <w14:solidFill>
                    <w14:schemeClr w14:val="tx1"/>
                  </w14:solidFill>
                </w14:textFill>
              </w:rPr>
              <w:t>地点：</w:t>
            </w:r>
            <w:r>
              <w:rPr>
                <w:rFonts w:hint="eastAsia"/>
                <w:color w:val="000000" w:themeColor="text1"/>
                <w:szCs w:val="24"/>
                <w:lang w:val="zh-CN"/>
                <w14:textFill>
                  <w14:solidFill>
                    <w14:schemeClr w14:val="tx1"/>
                  </w14:solidFill>
                </w14:textFill>
              </w:rPr>
              <w:t>苏州市东吴北路221号会议室</w:t>
            </w:r>
          </w:p>
        </w:tc>
      </w:tr>
      <w:tr w14:paraId="2965C2C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6B0B91B6">
            <w:pPr>
              <w:widowControl w:val="0"/>
              <w:autoSpaceDE w:val="0"/>
              <w:autoSpaceDN w:val="0"/>
              <w:adjustRightInd w:val="0"/>
              <w:spacing w:line="400" w:lineRule="exact"/>
              <w:jc w:val="center"/>
              <w:rPr>
                <w:kern w:val="2"/>
                <w:szCs w:val="24"/>
                <w:lang w:val="zh-CN"/>
              </w:rPr>
            </w:pPr>
            <w:r>
              <w:rPr>
                <w:kern w:val="2"/>
                <w:szCs w:val="24"/>
                <w:lang w:val="zh-CN"/>
              </w:rPr>
              <w:t>1</w:t>
            </w:r>
            <w:r>
              <w:rPr>
                <w:rFonts w:hint="eastAsia"/>
                <w:kern w:val="2"/>
                <w:szCs w:val="24"/>
                <w:lang w:val="zh-CN"/>
              </w:rPr>
              <w:t>2</w:t>
            </w:r>
          </w:p>
        </w:tc>
        <w:tc>
          <w:tcPr>
            <w:tcW w:w="1701" w:type="dxa"/>
            <w:tcBorders>
              <w:top w:val="single" w:color="auto" w:sz="6" w:space="0"/>
              <w:left w:val="single" w:color="auto" w:sz="6" w:space="0"/>
              <w:bottom w:val="single" w:color="auto" w:sz="6" w:space="0"/>
              <w:right w:val="single" w:color="auto" w:sz="6" w:space="0"/>
            </w:tcBorders>
            <w:vAlign w:val="center"/>
          </w:tcPr>
          <w:p w14:paraId="24C19673">
            <w:pPr>
              <w:widowControl w:val="0"/>
              <w:autoSpaceDE w:val="0"/>
              <w:autoSpaceDN w:val="0"/>
              <w:adjustRightInd w:val="0"/>
              <w:spacing w:line="400" w:lineRule="exact"/>
              <w:jc w:val="center"/>
              <w:rPr>
                <w:kern w:val="2"/>
                <w:szCs w:val="24"/>
                <w:lang w:val="zh-CN"/>
              </w:rPr>
            </w:pPr>
            <w:r>
              <w:rPr>
                <w:kern w:val="2"/>
                <w:szCs w:val="24"/>
                <w:lang w:val="zh-CN"/>
              </w:rPr>
              <w:t>中标服务费</w:t>
            </w:r>
          </w:p>
        </w:tc>
        <w:tc>
          <w:tcPr>
            <w:tcW w:w="7541" w:type="dxa"/>
            <w:tcBorders>
              <w:top w:val="single" w:color="auto" w:sz="6" w:space="0"/>
              <w:left w:val="single" w:color="auto" w:sz="6" w:space="0"/>
              <w:bottom w:val="single" w:color="auto" w:sz="6" w:space="0"/>
              <w:right w:val="single" w:color="auto" w:sz="6" w:space="0"/>
            </w:tcBorders>
            <w:vAlign w:val="center"/>
          </w:tcPr>
          <w:p w14:paraId="384B45E9">
            <w:pPr>
              <w:spacing w:line="400" w:lineRule="exact"/>
              <w:jc w:val="both"/>
              <w:rPr>
                <w:szCs w:val="24"/>
                <w:lang w:val="zh-CN"/>
              </w:rPr>
            </w:pPr>
            <w:r>
              <w:rPr>
                <w:rFonts w:hint="eastAsia"/>
                <w:szCs w:val="24"/>
                <w:lang w:val="zh-CN"/>
              </w:rPr>
              <w:t>由中标人支付，代理服务费：收费标准：</w:t>
            </w:r>
          </w:p>
          <w:p w14:paraId="0D10CB33">
            <w:pPr>
              <w:spacing w:line="400" w:lineRule="exact"/>
              <w:jc w:val="both"/>
              <w:rPr>
                <w:szCs w:val="24"/>
                <w:lang w:val="zh-CN"/>
              </w:rPr>
            </w:pPr>
            <w:r>
              <w:rPr>
                <w:rFonts w:hint="eastAsia"/>
                <w:szCs w:val="24"/>
                <w:lang w:val="zh-CN"/>
              </w:rPr>
              <w:t>预算金额100万元以下费率为预算金额的1.5%</w:t>
            </w:r>
            <w:r>
              <w:rPr>
                <w:rFonts w:hint="eastAsia"/>
              </w:rPr>
              <w:t>；</w:t>
            </w:r>
          </w:p>
          <w:p w14:paraId="4C4BD60B">
            <w:pPr>
              <w:spacing w:line="400" w:lineRule="exact"/>
              <w:jc w:val="both"/>
              <w:rPr>
                <w:szCs w:val="24"/>
                <w:lang w:val="zh-CN"/>
              </w:rPr>
            </w:pPr>
            <w:r>
              <w:rPr>
                <w:rFonts w:hint="eastAsia"/>
                <w:szCs w:val="24"/>
                <w:lang w:val="zh-CN"/>
              </w:rPr>
              <w:t>预算金额100－500万元费率为预算金额的1.1%</w:t>
            </w:r>
            <w:r>
              <w:rPr>
                <w:rFonts w:hint="eastAsia"/>
              </w:rPr>
              <w:t>；</w:t>
            </w:r>
          </w:p>
          <w:p w14:paraId="7217A3CB">
            <w:pPr>
              <w:spacing w:line="400" w:lineRule="exact"/>
              <w:jc w:val="both"/>
              <w:rPr>
                <w:szCs w:val="24"/>
                <w:lang w:val="zh-CN"/>
              </w:rPr>
            </w:pPr>
            <w:r>
              <w:rPr>
                <w:rFonts w:hint="eastAsia"/>
                <w:szCs w:val="24"/>
                <w:lang w:val="zh-CN"/>
              </w:rPr>
              <w:t>预算金额500-1000万元费率为预算金额的0.8%</w:t>
            </w:r>
            <w:r>
              <w:rPr>
                <w:rFonts w:hint="eastAsia"/>
              </w:rPr>
              <w:t>；</w:t>
            </w:r>
          </w:p>
          <w:p w14:paraId="67177AAD">
            <w:pPr>
              <w:spacing w:line="400" w:lineRule="exact"/>
              <w:jc w:val="both"/>
              <w:rPr>
                <w:szCs w:val="24"/>
                <w:lang w:val="zh-CN"/>
              </w:rPr>
            </w:pPr>
            <w:r>
              <w:rPr>
                <w:rFonts w:hint="eastAsia"/>
                <w:szCs w:val="24"/>
                <w:lang w:val="zh-CN"/>
              </w:rPr>
              <w:t>预算金额1000-5000万元费率为预算金额的0.5%</w:t>
            </w:r>
            <w:r>
              <w:rPr>
                <w:rFonts w:hint="eastAsia"/>
              </w:rPr>
              <w:t>；</w:t>
            </w:r>
          </w:p>
          <w:p w14:paraId="54A21A00">
            <w:pPr>
              <w:spacing w:line="400" w:lineRule="exact"/>
              <w:jc w:val="both"/>
              <w:rPr>
                <w:szCs w:val="24"/>
                <w:lang w:val="zh-CN"/>
              </w:rPr>
            </w:pPr>
            <w:r>
              <w:rPr>
                <w:rFonts w:hint="eastAsia" w:ascii="宋体" w:hAnsi="宋体"/>
                <w:szCs w:val="24"/>
                <w:lang w:val="zh-CN"/>
              </w:rPr>
              <w:t>注：代理服务费按上述规定的标准和差额定率累进法进行计算后下浮3</w:t>
            </w:r>
            <w:r>
              <w:rPr>
                <w:rFonts w:ascii="宋体" w:hAnsi="宋体"/>
                <w:szCs w:val="24"/>
                <w:lang w:val="zh-CN"/>
              </w:rPr>
              <w:t>0</w:t>
            </w:r>
            <w:r>
              <w:rPr>
                <w:rFonts w:hint="eastAsia" w:ascii="宋体" w:hAnsi="宋体"/>
                <w:szCs w:val="24"/>
                <w:lang w:val="zh-CN"/>
              </w:rPr>
              <w:t>％收取，在领取中标通知书时一次付清。</w:t>
            </w:r>
          </w:p>
        </w:tc>
      </w:tr>
      <w:tr w14:paraId="43564BB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19AD6CEA">
            <w:pPr>
              <w:widowControl w:val="0"/>
              <w:autoSpaceDE w:val="0"/>
              <w:autoSpaceDN w:val="0"/>
              <w:adjustRightInd w:val="0"/>
              <w:spacing w:line="360" w:lineRule="exact"/>
              <w:jc w:val="center"/>
              <w:rPr>
                <w:kern w:val="2"/>
                <w:szCs w:val="24"/>
                <w:lang w:val="zh-CN"/>
              </w:rPr>
            </w:pPr>
            <w:r>
              <w:rPr>
                <w:kern w:val="2"/>
                <w:szCs w:val="24"/>
                <w:lang w:val="zh-CN"/>
              </w:rPr>
              <w:t>1</w:t>
            </w:r>
            <w:r>
              <w:rPr>
                <w:rFonts w:hint="eastAsia"/>
                <w:kern w:val="2"/>
                <w:szCs w:val="24"/>
                <w:lang w:val="zh-CN"/>
              </w:rPr>
              <w:t>3</w:t>
            </w:r>
          </w:p>
        </w:tc>
        <w:tc>
          <w:tcPr>
            <w:tcW w:w="1701" w:type="dxa"/>
            <w:tcBorders>
              <w:top w:val="single" w:color="auto" w:sz="6" w:space="0"/>
              <w:left w:val="single" w:color="auto" w:sz="6" w:space="0"/>
              <w:bottom w:val="single" w:color="auto" w:sz="6" w:space="0"/>
              <w:right w:val="single" w:color="auto" w:sz="6" w:space="0"/>
            </w:tcBorders>
            <w:vAlign w:val="center"/>
          </w:tcPr>
          <w:p w14:paraId="56F6944A">
            <w:pPr>
              <w:widowControl w:val="0"/>
              <w:autoSpaceDE w:val="0"/>
              <w:autoSpaceDN w:val="0"/>
              <w:adjustRightInd w:val="0"/>
              <w:spacing w:line="400" w:lineRule="exact"/>
              <w:jc w:val="center"/>
              <w:rPr>
                <w:kern w:val="2"/>
                <w:szCs w:val="24"/>
                <w:lang w:val="zh-CN"/>
              </w:rPr>
            </w:pPr>
            <w:r>
              <w:rPr>
                <w:kern w:val="2"/>
                <w:szCs w:val="24"/>
                <w:lang w:val="zh-CN"/>
              </w:rPr>
              <w:t>导致废标因素</w:t>
            </w:r>
          </w:p>
        </w:tc>
        <w:tc>
          <w:tcPr>
            <w:tcW w:w="7541" w:type="dxa"/>
            <w:tcBorders>
              <w:top w:val="single" w:color="auto" w:sz="6" w:space="0"/>
              <w:left w:val="single" w:color="auto" w:sz="6" w:space="0"/>
              <w:bottom w:val="single" w:color="auto" w:sz="6" w:space="0"/>
              <w:right w:val="single" w:color="auto" w:sz="6" w:space="0"/>
            </w:tcBorders>
            <w:vAlign w:val="center"/>
          </w:tcPr>
          <w:p w14:paraId="3667E605">
            <w:pPr>
              <w:widowControl w:val="0"/>
              <w:autoSpaceDE w:val="0"/>
              <w:autoSpaceDN w:val="0"/>
              <w:adjustRightInd w:val="0"/>
              <w:spacing w:line="400" w:lineRule="exact"/>
              <w:jc w:val="both"/>
              <w:rPr>
                <w:kern w:val="2"/>
                <w:szCs w:val="24"/>
                <w:lang w:val="zh-CN"/>
              </w:rPr>
            </w:pPr>
            <w:r>
              <w:rPr>
                <w:kern w:val="2"/>
                <w:szCs w:val="24"/>
                <w:lang w:val="zh-CN"/>
              </w:rPr>
              <w:t xml:space="preserve">出现下列情形之一的，为废标： </w:t>
            </w:r>
          </w:p>
          <w:p w14:paraId="53AB3735">
            <w:pPr>
              <w:widowControl w:val="0"/>
              <w:autoSpaceDE w:val="0"/>
              <w:autoSpaceDN w:val="0"/>
              <w:adjustRightInd w:val="0"/>
              <w:spacing w:line="400" w:lineRule="exact"/>
              <w:jc w:val="both"/>
              <w:rPr>
                <w:kern w:val="2"/>
                <w:szCs w:val="24"/>
                <w:lang w:val="zh-CN"/>
              </w:rPr>
            </w:pPr>
            <w:r>
              <w:rPr>
                <w:kern w:val="2"/>
                <w:szCs w:val="24"/>
                <w:lang w:val="zh-CN"/>
              </w:rPr>
              <w:t xml:space="preserve">（一）符合专业条件的投标人或者对招标文件作实质响应的投标人不足三家的； </w:t>
            </w:r>
          </w:p>
          <w:p w14:paraId="12441AB0">
            <w:pPr>
              <w:widowControl w:val="0"/>
              <w:autoSpaceDE w:val="0"/>
              <w:autoSpaceDN w:val="0"/>
              <w:adjustRightInd w:val="0"/>
              <w:spacing w:line="400" w:lineRule="exact"/>
              <w:jc w:val="both"/>
              <w:rPr>
                <w:kern w:val="2"/>
                <w:szCs w:val="24"/>
                <w:lang w:val="zh-CN"/>
              </w:rPr>
            </w:pPr>
            <w:r>
              <w:rPr>
                <w:kern w:val="2"/>
                <w:szCs w:val="24"/>
                <w:lang w:val="zh-CN"/>
              </w:rPr>
              <w:t xml:space="preserve">（二）出现影响采购公正的违法、违规行为的； </w:t>
            </w:r>
          </w:p>
          <w:p w14:paraId="712FE9C2">
            <w:pPr>
              <w:widowControl w:val="0"/>
              <w:autoSpaceDE w:val="0"/>
              <w:autoSpaceDN w:val="0"/>
              <w:adjustRightInd w:val="0"/>
              <w:spacing w:line="400" w:lineRule="exact"/>
              <w:jc w:val="both"/>
              <w:rPr>
                <w:kern w:val="2"/>
                <w:szCs w:val="24"/>
                <w:lang w:val="zh-CN"/>
              </w:rPr>
            </w:pPr>
            <w:r>
              <w:rPr>
                <w:kern w:val="2"/>
                <w:szCs w:val="24"/>
                <w:lang w:val="zh-CN"/>
              </w:rPr>
              <w:t>（三）因重大变故，采购任务取消的</w:t>
            </w:r>
            <w:r>
              <w:rPr>
                <w:rFonts w:hint="eastAsia"/>
                <w:kern w:val="2"/>
                <w:szCs w:val="24"/>
                <w:lang w:val="zh-CN"/>
              </w:rPr>
              <w:t>。</w:t>
            </w:r>
          </w:p>
        </w:tc>
      </w:tr>
      <w:tr w14:paraId="6AB608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80" w:type="dxa"/>
            <w:tcBorders>
              <w:top w:val="single" w:color="auto" w:sz="6" w:space="0"/>
              <w:left w:val="single" w:color="auto" w:sz="6" w:space="0"/>
              <w:bottom w:val="single" w:color="auto" w:sz="6" w:space="0"/>
              <w:right w:val="single" w:color="auto" w:sz="6" w:space="0"/>
            </w:tcBorders>
            <w:vAlign w:val="center"/>
          </w:tcPr>
          <w:p w14:paraId="118B06A9">
            <w:pPr>
              <w:widowControl w:val="0"/>
              <w:autoSpaceDE w:val="0"/>
              <w:autoSpaceDN w:val="0"/>
              <w:adjustRightInd w:val="0"/>
              <w:spacing w:line="360" w:lineRule="exact"/>
              <w:jc w:val="center"/>
              <w:rPr>
                <w:kern w:val="2"/>
                <w:szCs w:val="24"/>
                <w:lang w:val="zh-CN"/>
              </w:rPr>
            </w:pPr>
            <w:r>
              <w:rPr>
                <w:kern w:val="2"/>
                <w:szCs w:val="24"/>
                <w:lang w:val="zh-CN"/>
              </w:rPr>
              <w:t>1</w:t>
            </w:r>
            <w:r>
              <w:rPr>
                <w:rFonts w:hint="eastAsia"/>
                <w:kern w:val="2"/>
                <w:szCs w:val="24"/>
                <w:lang w:val="zh-CN"/>
              </w:rPr>
              <w:t>4</w:t>
            </w:r>
          </w:p>
        </w:tc>
        <w:tc>
          <w:tcPr>
            <w:tcW w:w="1701" w:type="dxa"/>
            <w:tcBorders>
              <w:top w:val="single" w:color="auto" w:sz="6" w:space="0"/>
              <w:left w:val="single" w:color="auto" w:sz="6" w:space="0"/>
              <w:bottom w:val="single" w:color="auto" w:sz="6" w:space="0"/>
              <w:right w:val="single" w:color="auto" w:sz="6" w:space="0"/>
            </w:tcBorders>
            <w:vAlign w:val="center"/>
          </w:tcPr>
          <w:p w14:paraId="7DA8380F">
            <w:pPr>
              <w:widowControl w:val="0"/>
              <w:autoSpaceDE w:val="0"/>
              <w:autoSpaceDN w:val="0"/>
              <w:adjustRightInd w:val="0"/>
              <w:spacing w:line="400" w:lineRule="exact"/>
              <w:jc w:val="center"/>
              <w:rPr>
                <w:kern w:val="2"/>
                <w:szCs w:val="24"/>
                <w:lang w:val="zh-CN"/>
              </w:rPr>
            </w:pPr>
            <w:r>
              <w:rPr>
                <w:kern w:val="2"/>
                <w:szCs w:val="24"/>
                <w:lang w:val="zh-CN"/>
              </w:rPr>
              <w:t>导致无效标因素</w:t>
            </w:r>
          </w:p>
        </w:tc>
        <w:tc>
          <w:tcPr>
            <w:tcW w:w="7541" w:type="dxa"/>
            <w:tcBorders>
              <w:top w:val="single" w:color="auto" w:sz="6" w:space="0"/>
              <w:left w:val="single" w:color="auto" w:sz="6" w:space="0"/>
              <w:bottom w:val="single" w:color="auto" w:sz="6" w:space="0"/>
              <w:right w:val="single" w:color="auto" w:sz="6" w:space="0"/>
            </w:tcBorders>
            <w:vAlign w:val="center"/>
          </w:tcPr>
          <w:p w14:paraId="67D652C4">
            <w:pPr>
              <w:widowControl w:val="0"/>
              <w:autoSpaceDE w:val="0"/>
              <w:autoSpaceDN w:val="0"/>
              <w:adjustRightInd w:val="0"/>
              <w:spacing w:line="400" w:lineRule="exact"/>
              <w:jc w:val="both"/>
              <w:rPr>
                <w:kern w:val="2"/>
                <w:szCs w:val="24"/>
                <w:lang w:val="zh-CN"/>
              </w:rPr>
            </w:pPr>
            <w:r>
              <w:rPr>
                <w:kern w:val="2"/>
                <w:szCs w:val="24"/>
                <w:lang w:val="zh-CN"/>
              </w:rPr>
              <w:t>投标文件属下列情况之一的，在资格性、符合性检查时按照无效投标处理：</w:t>
            </w:r>
          </w:p>
          <w:p w14:paraId="07DB5E5C">
            <w:pPr>
              <w:widowControl w:val="0"/>
              <w:autoSpaceDE w:val="0"/>
              <w:autoSpaceDN w:val="0"/>
              <w:adjustRightInd w:val="0"/>
              <w:spacing w:line="400" w:lineRule="exact"/>
              <w:jc w:val="both"/>
              <w:rPr>
                <w:kern w:val="2"/>
                <w:szCs w:val="24"/>
                <w:lang w:val="zh-CN"/>
              </w:rPr>
            </w:pPr>
            <w:r>
              <w:rPr>
                <w:kern w:val="2"/>
                <w:szCs w:val="24"/>
                <w:lang w:val="zh-CN"/>
              </w:rPr>
              <w:t>（</w:t>
            </w:r>
            <w:r>
              <w:rPr>
                <w:rFonts w:hint="eastAsia"/>
                <w:kern w:val="2"/>
                <w:szCs w:val="24"/>
                <w:lang w:val="zh-CN"/>
              </w:rPr>
              <w:t>一</w:t>
            </w:r>
            <w:r>
              <w:rPr>
                <w:kern w:val="2"/>
                <w:szCs w:val="24"/>
                <w:lang w:val="zh-CN"/>
              </w:rPr>
              <w:t>）未按照招标文件规定要求密封、签署、盖章的；</w:t>
            </w:r>
          </w:p>
          <w:p w14:paraId="7E3161E8">
            <w:pPr>
              <w:widowControl w:val="0"/>
              <w:autoSpaceDE w:val="0"/>
              <w:autoSpaceDN w:val="0"/>
              <w:adjustRightInd w:val="0"/>
              <w:spacing w:line="400" w:lineRule="exact"/>
              <w:jc w:val="both"/>
              <w:rPr>
                <w:kern w:val="2"/>
                <w:szCs w:val="24"/>
                <w:lang w:val="zh-CN"/>
              </w:rPr>
            </w:pPr>
            <w:r>
              <w:rPr>
                <w:kern w:val="2"/>
                <w:szCs w:val="24"/>
                <w:lang w:val="zh-CN"/>
              </w:rPr>
              <w:t>（</w:t>
            </w:r>
            <w:r>
              <w:rPr>
                <w:rFonts w:hint="eastAsia"/>
                <w:kern w:val="2"/>
                <w:szCs w:val="24"/>
                <w:lang w:val="zh-CN"/>
              </w:rPr>
              <w:t>二</w:t>
            </w:r>
            <w:r>
              <w:rPr>
                <w:kern w:val="2"/>
                <w:szCs w:val="24"/>
                <w:lang w:val="zh-CN"/>
              </w:rPr>
              <w:t>）不具备招标文件中规定资格要求的；</w:t>
            </w:r>
          </w:p>
          <w:p w14:paraId="166CA92C">
            <w:pPr>
              <w:widowControl w:val="0"/>
              <w:autoSpaceDE w:val="0"/>
              <w:autoSpaceDN w:val="0"/>
              <w:adjustRightInd w:val="0"/>
              <w:spacing w:line="400" w:lineRule="exact"/>
              <w:jc w:val="both"/>
              <w:rPr>
                <w:kern w:val="2"/>
                <w:szCs w:val="24"/>
                <w:lang w:val="zh-CN"/>
              </w:rPr>
            </w:pPr>
            <w:r>
              <w:rPr>
                <w:kern w:val="2"/>
                <w:szCs w:val="24"/>
                <w:lang w:val="zh-CN"/>
              </w:rPr>
              <w:t>（</w:t>
            </w:r>
            <w:r>
              <w:rPr>
                <w:rFonts w:hint="eastAsia"/>
                <w:kern w:val="2"/>
                <w:szCs w:val="24"/>
                <w:lang w:val="zh-CN"/>
              </w:rPr>
              <w:t>三</w:t>
            </w:r>
            <w:r>
              <w:rPr>
                <w:kern w:val="2"/>
                <w:szCs w:val="24"/>
                <w:lang w:val="zh-CN"/>
              </w:rPr>
              <w:t>）投标书一（开标一览表）与投标书二装订在一起的或投标书二中出现总报价的；</w:t>
            </w:r>
          </w:p>
          <w:p w14:paraId="20076D3E">
            <w:pPr>
              <w:widowControl w:val="0"/>
              <w:autoSpaceDE w:val="0"/>
              <w:autoSpaceDN w:val="0"/>
              <w:adjustRightInd w:val="0"/>
              <w:spacing w:line="400" w:lineRule="exact"/>
              <w:jc w:val="both"/>
              <w:rPr>
                <w:kern w:val="2"/>
                <w:szCs w:val="24"/>
                <w:lang w:val="zh-CN"/>
              </w:rPr>
            </w:pPr>
            <w:r>
              <w:rPr>
                <w:kern w:val="2"/>
                <w:szCs w:val="24"/>
                <w:lang w:val="zh-CN"/>
              </w:rPr>
              <w:t>（</w:t>
            </w:r>
            <w:r>
              <w:rPr>
                <w:rFonts w:hint="eastAsia"/>
                <w:kern w:val="2"/>
                <w:szCs w:val="24"/>
                <w:lang w:val="zh-CN"/>
              </w:rPr>
              <w:t>四</w:t>
            </w:r>
            <w:r>
              <w:rPr>
                <w:kern w:val="2"/>
                <w:szCs w:val="24"/>
                <w:lang w:val="zh-CN"/>
              </w:rPr>
              <w:t>）不符合法律、法规和招标文件中规定的其他实质性要求的；</w:t>
            </w:r>
          </w:p>
          <w:p w14:paraId="0AF9D37B">
            <w:pPr>
              <w:widowControl w:val="0"/>
              <w:autoSpaceDE w:val="0"/>
              <w:autoSpaceDN w:val="0"/>
              <w:adjustRightInd w:val="0"/>
              <w:spacing w:line="400" w:lineRule="exact"/>
              <w:jc w:val="both"/>
              <w:rPr>
                <w:kern w:val="2"/>
                <w:szCs w:val="24"/>
                <w:lang w:val="zh-CN"/>
              </w:rPr>
            </w:pPr>
            <w:r>
              <w:rPr>
                <w:kern w:val="2"/>
                <w:szCs w:val="24"/>
                <w:lang w:val="zh-CN"/>
              </w:rPr>
              <w:t>（</w:t>
            </w:r>
            <w:r>
              <w:rPr>
                <w:rFonts w:hint="eastAsia"/>
                <w:kern w:val="2"/>
                <w:szCs w:val="24"/>
                <w:lang w:val="zh-CN"/>
              </w:rPr>
              <w:t>五</w:t>
            </w:r>
            <w:r>
              <w:rPr>
                <w:kern w:val="2"/>
                <w:szCs w:val="24"/>
                <w:lang w:val="zh-CN"/>
              </w:rPr>
              <w:t>）其它在招标文件中已明确为无效标的</w:t>
            </w:r>
            <w:r>
              <w:rPr>
                <w:rFonts w:hAnsi="宋体"/>
                <w:szCs w:val="24"/>
              </w:rPr>
              <w:t>。</w:t>
            </w:r>
          </w:p>
        </w:tc>
      </w:tr>
    </w:tbl>
    <w:p w14:paraId="1652FC0A">
      <w:pPr>
        <w:jc w:val="center"/>
        <w:rPr>
          <w:rFonts w:eastAsia="黑体"/>
          <w:b/>
          <w:bCs/>
          <w:spacing w:val="-14"/>
          <w:sz w:val="30"/>
        </w:rPr>
      </w:pPr>
      <w:r>
        <w:br w:type="page"/>
      </w:r>
      <w:r>
        <w:rPr>
          <w:rFonts w:eastAsia="黑体"/>
          <w:b/>
          <w:kern w:val="2"/>
          <w:sz w:val="32"/>
        </w:rPr>
        <w:t>第一章   招标公告</w:t>
      </w:r>
    </w:p>
    <w:p w14:paraId="1E7DABBE">
      <w:pPr>
        <w:spacing w:line="400" w:lineRule="exact"/>
        <w:ind w:firstLine="480" w:firstLineChars="200"/>
        <w:rPr>
          <w:szCs w:val="24"/>
        </w:rPr>
      </w:pPr>
      <w:r>
        <w:rPr>
          <w:szCs w:val="24"/>
        </w:rPr>
        <w:t>受苏州燃气集团有限责任公司之委托，苏州市永诚建设咨询有限公司作为招标代理机构，对其</w:t>
      </w:r>
      <w:r>
        <w:rPr>
          <w:rFonts w:hint="eastAsia"/>
          <w:szCs w:val="24"/>
        </w:rPr>
        <w:t>2024-2025年度天然气管道维抢修</w:t>
      </w:r>
      <w:r>
        <w:rPr>
          <w:szCs w:val="24"/>
        </w:rPr>
        <w:t>进行国内公开招标。欢迎符合资格条件的供应商前来报名参加投标。</w:t>
      </w:r>
    </w:p>
    <w:p w14:paraId="40962A6F">
      <w:pPr>
        <w:pStyle w:val="44"/>
        <w:spacing w:after="0" w:line="370" w:lineRule="exact"/>
        <w:ind w:left="0" w:leftChars="0" w:firstLine="480" w:firstLineChars="200"/>
        <w:rPr>
          <w:sz w:val="24"/>
          <w:szCs w:val="24"/>
        </w:rPr>
      </w:pPr>
      <w:r>
        <w:rPr>
          <w:sz w:val="24"/>
          <w:szCs w:val="24"/>
        </w:rPr>
        <w:t>1、招标编号：SZYCZX2024-RQ-G-007号</w:t>
      </w:r>
    </w:p>
    <w:p w14:paraId="7A517C8A">
      <w:pPr>
        <w:spacing w:line="400" w:lineRule="exact"/>
        <w:ind w:firstLine="480" w:firstLineChars="200"/>
        <w:rPr>
          <w:szCs w:val="24"/>
        </w:rPr>
      </w:pPr>
      <w:r>
        <w:rPr>
          <w:szCs w:val="24"/>
        </w:rPr>
        <w:t>2、招标项目名称：2024-2025年度天然气管道维抢修</w:t>
      </w:r>
    </w:p>
    <w:p w14:paraId="37E42999">
      <w:pPr>
        <w:spacing w:line="400" w:lineRule="exact"/>
        <w:ind w:firstLine="480" w:firstLineChars="200"/>
        <w:rPr>
          <w:szCs w:val="24"/>
        </w:rPr>
      </w:pPr>
      <w:r>
        <w:rPr>
          <w:rFonts w:hint="eastAsia"/>
          <w:szCs w:val="24"/>
        </w:rPr>
        <w:t>3</w:t>
      </w:r>
      <w:r>
        <w:rPr>
          <w:szCs w:val="24"/>
        </w:rPr>
        <w:t>、服务要求：详见招标文件</w:t>
      </w:r>
    </w:p>
    <w:p w14:paraId="192812F7">
      <w:pPr>
        <w:spacing w:line="400" w:lineRule="exact"/>
        <w:ind w:firstLine="480" w:firstLineChars="200"/>
        <w:rPr>
          <w:szCs w:val="24"/>
        </w:rPr>
      </w:pPr>
      <w:r>
        <w:rPr>
          <w:rFonts w:hint="eastAsia"/>
          <w:szCs w:val="24"/>
        </w:rPr>
        <w:t>4</w:t>
      </w:r>
      <w:r>
        <w:rPr>
          <w:szCs w:val="24"/>
        </w:rPr>
        <w:t>、</w:t>
      </w:r>
      <w:r>
        <w:rPr>
          <w:rFonts w:hint="eastAsia"/>
          <w:szCs w:val="24"/>
        </w:rPr>
        <w:t>服务日期：合同签订后一年</w:t>
      </w:r>
    </w:p>
    <w:p w14:paraId="3F6D9E8A">
      <w:pPr>
        <w:spacing w:line="400" w:lineRule="exact"/>
        <w:ind w:firstLine="480" w:firstLineChars="200"/>
        <w:rPr>
          <w:color w:val="000000" w:themeColor="text1"/>
          <w:szCs w:val="24"/>
          <w14:textFill>
            <w14:solidFill>
              <w14:schemeClr w14:val="tx1"/>
            </w14:solidFill>
          </w14:textFill>
        </w:rPr>
      </w:pPr>
      <w:r>
        <w:rPr>
          <w:color w:val="000000" w:themeColor="text1"/>
          <w:szCs w:val="24"/>
          <w14:textFill>
            <w14:solidFill>
              <w14:schemeClr w14:val="tx1"/>
            </w14:solidFill>
          </w14:textFill>
        </w:rPr>
        <w:t>5</w:t>
      </w:r>
      <w:r>
        <w:rPr>
          <w:rFonts w:hint="eastAsia"/>
          <w:color w:val="000000" w:themeColor="text1"/>
          <w:szCs w:val="24"/>
          <w14:textFill>
            <w14:solidFill>
              <w14:schemeClr w14:val="tx1"/>
            </w14:solidFill>
          </w14:textFill>
        </w:rPr>
        <w:t>、年度预算金额</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壹佰柒拾万元整（¥：1</w:t>
      </w:r>
      <w:r>
        <w:rPr>
          <w:color w:val="000000" w:themeColor="text1"/>
          <w:szCs w:val="24"/>
          <w14:textFill>
            <w14:solidFill>
              <w14:schemeClr w14:val="tx1"/>
            </w14:solidFill>
          </w14:textFill>
        </w:rPr>
        <w:t>7</w:t>
      </w:r>
      <w:r>
        <w:rPr>
          <w:rFonts w:hint="eastAsia"/>
          <w:color w:val="000000" w:themeColor="text1"/>
          <w:szCs w:val="24"/>
          <w14:textFill>
            <w14:solidFill>
              <w14:schemeClr w14:val="tx1"/>
            </w14:solidFill>
          </w14:textFill>
        </w:rPr>
        <w:t>00</w:t>
      </w:r>
      <w:r>
        <w:rPr>
          <w:color w:val="000000" w:themeColor="text1"/>
          <w:szCs w:val="24"/>
          <w14:textFill>
            <w14:solidFill>
              <w14:schemeClr w14:val="tx1"/>
            </w14:solidFill>
          </w14:textFill>
        </w:rPr>
        <w:t>000</w:t>
      </w:r>
      <w:r>
        <w:rPr>
          <w:rFonts w:hint="eastAsia"/>
          <w:color w:val="000000" w:themeColor="text1"/>
          <w:szCs w:val="24"/>
          <w14:textFill>
            <w14:solidFill>
              <w14:schemeClr w14:val="tx1"/>
            </w14:solidFill>
          </w14:textFill>
        </w:rPr>
        <w:t>.00）</w:t>
      </w:r>
      <w:r>
        <w:rPr>
          <w:rFonts w:hint="eastAsia"/>
          <w:color w:val="000000" w:themeColor="text1"/>
          <w:kern w:val="2"/>
          <w:szCs w:val="24"/>
          <w:lang w:val="zh-CN"/>
          <w14:textFill>
            <w14:solidFill>
              <w14:schemeClr w14:val="tx1"/>
            </w14:solidFill>
          </w14:textFill>
        </w:rPr>
        <w:t>（</w:t>
      </w:r>
      <w:r>
        <w:rPr>
          <w:rFonts w:hint="eastAsia"/>
          <w:color w:val="000000" w:themeColor="text1"/>
          <w:kern w:val="2"/>
          <w:szCs w:val="24"/>
          <w14:textFill>
            <w14:solidFill>
              <w14:schemeClr w14:val="tx1"/>
            </w14:solidFill>
          </w14:textFill>
        </w:rPr>
        <w:t>维抢修</w:t>
      </w:r>
      <w:r>
        <w:rPr>
          <w:rFonts w:hint="eastAsia"/>
          <w:color w:val="000000" w:themeColor="text1"/>
          <w:kern w:val="2"/>
          <w:szCs w:val="24"/>
          <w:lang w:val="zh-CN"/>
          <w14:textFill>
            <w14:solidFill>
              <w14:schemeClr w14:val="tx1"/>
            </w14:solidFill>
          </w14:textFill>
        </w:rPr>
        <w:t>队伍</w:t>
      </w:r>
      <w:r>
        <w:rPr>
          <w:rFonts w:hint="eastAsia"/>
          <w:color w:val="000000" w:themeColor="text1"/>
          <w:kern w:val="2"/>
          <w:szCs w:val="24"/>
          <w14:textFill>
            <w14:solidFill>
              <w14:schemeClr w14:val="tx1"/>
            </w14:solidFill>
          </w14:textFill>
        </w:rPr>
        <w:t>基础服务费、工时及机械费据实结算）</w:t>
      </w:r>
    </w:p>
    <w:p w14:paraId="6BF639C5">
      <w:pPr>
        <w:pStyle w:val="44"/>
        <w:spacing w:after="0" w:line="370" w:lineRule="exact"/>
        <w:ind w:left="0" w:leftChars="0" w:firstLine="480" w:firstLineChars="200"/>
        <w:rPr>
          <w:sz w:val="24"/>
          <w:szCs w:val="24"/>
        </w:rPr>
      </w:pPr>
      <w:r>
        <w:rPr>
          <w:rFonts w:hint="eastAsia"/>
          <w:sz w:val="24"/>
          <w:szCs w:val="24"/>
        </w:rPr>
        <w:t>6</w:t>
      </w:r>
      <w:r>
        <w:rPr>
          <w:sz w:val="24"/>
          <w:szCs w:val="24"/>
        </w:rPr>
        <w:t>、投标人投标资格要求：</w:t>
      </w:r>
    </w:p>
    <w:p w14:paraId="389710CA">
      <w:pPr>
        <w:spacing w:line="400" w:lineRule="exact"/>
        <w:ind w:firstLine="480" w:firstLineChars="200"/>
        <w:rPr>
          <w:szCs w:val="24"/>
        </w:rPr>
      </w:pPr>
      <w:r>
        <w:rPr>
          <w:szCs w:val="24"/>
        </w:rPr>
        <w:t>A、投标人应当具备下列条件：</w:t>
      </w:r>
    </w:p>
    <w:p w14:paraId="6DC7F161">
      <w:pPr>
        <w:spacing w:line="400" w:lineRule="exact"/>
        <w:ind w:firstLine="480" w:firstLineChars="200"/>
        <w:rPr>
          <w:szCs w:val="24"/>
        </w:rPr>
      </w:pPr>
      <w:r>
        <w:rPr>
          <w:szCs w:val="24"/>
        </w:rPr>
        <w:t>（1）具有独立承担民事责任的能力；</w:t>
      </w:r>
    </w:p>
    <w:p w14:paraId="1D577D6E">
      <w:pPr>
        <w:spacing w:line="400" w:lineRule="exact"/>
        <w:ind w:firstLine="480" w:firstLineChars="200"/>
        <w:rPr>
          <w:szCs w:val="24"/>
        </w:rPr>
      </w:pPr>
      <w:r>
        <w:rPr>
          <w:szCs w:val="24"/>
        </w:rPr>
        <w:t>（2）具有良好的商业信誉和健全的财务会计制度；</w:t>
      </w:r>
    </w:p>
    <w:p w14:paraId="1798EE5C">
      <w:pPr>
        <w:spacing w:line="400" w:lineRule="exact"/>
        <w:ind w:firstLine="480" w:firstLineChars="200"/>
        <w:rPr>
          <w:szCs w:val="24"/>
        </w:rPr>
      </w:pPr>
      <w:r>
        <w:rPr>
          <w:szCs w:val="24"/>
        </w:rPr>
        <w:t>（3）具有履行合同所必需的设备和专业技术能力；</w:t>
      </w:r>
    </w:p>
    <w:p w14:paraId="643A6D14">
      <w:pPr>
        <w:spacing w:line="400" w:lineRule="exact"/>
        <w:ind w:firstLine="480" w:firstLineChars="200"/>
        <w:rPr>
          <w:szCs w:val="24"/>
        </w:rPr>
      </w:pPr>
      <w:r>
        <w:rPr>
          <w:szCs w:val="24"/>
        </w:rPr>
        <w:t>（4）有依法缴纳税收和社会保障资金的良好记录；</w:t>
      </w:r>
    </w:p>
    <w:p w14:paraId="02C26BF3">
      <w:pPr>
        <w:spacing w:line="400" w:lineRule="exact"/>
        <w:ind w:firstLine="480" w:firstLineChars="200"/>
        <w:rPr>
          <w:bCs/>
          <w:szCs w:val="24"/>
        </w:rPr>
      </w:pPr>
      <w:r>
        <w:rPr>
          <w:bCs/>
          <w:szCs w:val="24"/>
        </w:rPr>
        <w:t>（5）</w:t>
      </w:r>
      <w:r>
        <w:rPr>
          <w:rFonts w:hint="eastAsia"/>
          <w:bCs/>
          <w:szCs w:val="24"/>
        </w:rPr>
        <w:t>参加采购活动前三年内，在经营活动中没有重大违法记录；</w:t>
      </w:r>
    </w:p>
    <w:p w14:paraId="1EB5908A">
      <w:pPr>
        <w:spacing w:line="400" w:lineRule="exact"/>
        <w:ind w:firstLine="480" w:firstLineChars="200"/>
        <w:rPr>
          <w:bCs/>
          <w:szCs w:val="24"/>
        </w:rPr>
      </w:pPr>
      <w:r>
        <w:rPr>
          <w:rFonts w:hint="eastAsia"/>
          <w:bCs/>
          <w:szCs w:val="24"/>
        </w:rPr>
        <w:t>（6）单位负责人为同一人或者存在直接控股、管理关系的不同供应商，不得参加同一合同项下的政府采购活动；</w:t>
      </w:r>
    </w:p>
    <w:p w14:paraId="20E40F04">
      <w:pPr>
        <w:spacing w:line="360" w:lineRule="auto"/>
        <w:ind w:firstLine="480" w:firstLineChars="200"/>
        <w:rPr>
          <w:szCs w:val="24"/>
        </w:rPr>
      </w:pPr>
      <w:r>
        <w:rPr>
          <w:rFonts w:hint="eastAsia"/>
          <w:szCs w:val="24"/>
        </w:rPr>
        <w:t xml:space="preserve"> (7)</w:t>
      </w:r>
      <w:r>
        <w:rPr>
          <w:szCs w:val="24"/>
        </w:rPr>
        <w:t xml:space="preserve"> 本项目不接受联合体投标</w:t>
      </w:r>
      <w:r>
        <w:rPr>
          <w:rFonts w:hint="eastAsia"/>
          <w:szCs w:val="24"/>
        </w:rPr>
        <w:t>。</w:t>
      </w:r>
    </w:p>
    <w:p w14:paraId="5716702A">
      <w:pPr>
        <w:spacing w:line="360" w:lineRule="auto"/>
        <w:ind w:firstLine="480" w:firstLineChars="200"/>
        <w:rPr>
          <w:szCs w:val="24"/>
        </w:rPr>
      </w:pPr>
      <w:r>
        <w:rPr>
          <w:rFonts w:hint="eastAsia"/>
          <w:szCs w:val="24"/>
        </w:rPr>
        <w:t>B</w:t>
      </w:r>
      <w:r>
        <w:rPr>
          <w:szCs w:val="24"/>
        </w:rPr>
        <w:t>、</w:t>
      </w:r>
      <w:r>
        <w:rPr>
          <w:rFonts w:hint="eastAsia"/>
          <w:szCs w:val="24"/>
        </w:rPr>
        <w:t>投标人具备的特殊条件：</w:t>
      </w:r>
    </w:p>
    <w:p w14:paraId="52B3525E">
      <w:pPr>
        <w:spacing w:line="360" w:lineRule="auto"/>
        <w:ind w:firstLine="480" w:firstLineChars="200"/>
      </w:pPr>
      <w:r>
        <w:rPr>
          <w:rFonts w:hint="eastAsia"/>
          <w:szCs w:val="24"/>
        </w:rPr>
        <w:t>1、具有市政公用工程施工总承包一</w:t>
      </w:r>
      <w:r>
        <w:rPr>
          <w:rFonts w:hint="eastAsia"/>
        </w:rPr>
        <w:t>级资质</w:t>
      </w:r>
      <w:r>
        <w:rPr>
          <w:rFonts w:hint="eastAsia"/>
          <w:bCs/>
          <w:szCs w:val="24"/>
        </w:rPr>
        <w:t>；</w:t>
      </w:r>
    </w:p>
    <w:p w14:paraId="4B7F279A">
      <w:pPr>
        <w:pStyle w:val="2"/>
        <w:spacing w:line="360" w:lineRule="auto"/>
        <w:rPr>
          <w:lang w:val="en-US"/>
        </w:rPr>
      </w:pPr>
      <w:r>
        <w:rPr>
          <w:rFonts w:hint="eastAsia"/>
          <w:lang w:val="en-US"/>
        </w:rPr>
        <w:t>2、具有中华人民共和国特种设备压力</w:t>
      </w:r>
      <w:r>
        <w:rPr>
          <w:rFonts w:hint="eastAsia"/>
          <w:color w:val="000000" w:themeColor="text1"/>
          <w:lang w:val="en-US"/>
          <w14:textFill>
            <w14:solidFill>
              <w14:schemeClr w14:val="tx1"/>
            </w14:solidFill>
          </w14:textFill>
        </w:rPr>
        <w:t>管道GA2、GB1、GC1、GC2安装</w:t>
      </w:r>
      <w:r>
        <w:rPr>
          <w:rFonts w:hint="eastAsia"/>
          <w:lang w:val="en-US"/>
        </w:rPr>
        <w:t>许可证。</w:t>
      </w:r>
    </w:p>
    <w:p w14:paraId="7C838AC4">
      <w:pPr>
        <w:pStyle w:val="2"/>
        <w:spacing w:line="360" w:lineRule="auto"/>
        <w:rPr>
          <w:szCs w:val="24"/>
        </w:rPr>
      </w:pPr>
      <w:r>
        <w:rPr>
          <w:rFonts w:hint="eastAsia"/>
          <w:szCs w:val="24"/>
        </w:rPr>
        <w:t>C、购买招标文件时须提供以下材料：</w:t>
      </w:r>
    </w:p>
    <w:p w14:paraId="3305DB52">
      <w:pPr>
        <w:spacing w:line="360" w:lineRule="auto"/>
        <w:ind w:firstLine="480" w:firstLineChars="200"/>
        <w:rPr>
          <w:szCs w:val="24"/>
        </w:rPr>
      </w:pPr>
      <w:r>
        <w:rPr>
          <w:rFonts w:hint="eastAsia"/>
          <w:szCs w:val="24"/>
        </w:rPr>
        <w:t>（</w:t>
      </w:r>
      <w:r>
        <w:rPr>
          <w:szCs w:val="24"/>
        </w:rPr>
        <w:t>1</w:t>
      </w:r>
      <w:r>
        <w:rPr>
          <w:rFonts w:hint="eastAsia"/>
          <w:szCs w:val="24"/>
        </w:rPr>
        <w:t>）投标单位营业执照复印件；</w:t>
      </w:r>
    </w:p>
    <w:p w14:paraId="5834E9AA">
      <w:pPr>
        <w:spacing w:line="360" w:lineRule="auto"/>
        <w:ind w:firstLine="480" w:firstLineChars="200"/>
        <w:rPr>
          <w:szCs w:val="24"/>
          <w:highlight w:val="yellow"/>
        </w:rPr>
      </w:pPr>
      <w:r>
        <w:rPr>
          <w:rFonts w:hint="eastAsia"/>
          <w:szCs w:val="24"/>
        </w:rPr>
        <w:t>（2）提供投标单位法定代表人身份证复印件，委托代理人参与投标的还需提供投标单位法人（负责人）委托书和委托代理人的身份证复印件及委托代理人在投标单位的社保缴纳证明（必须是投标单位在职职工，提供劳务合同及社保证明）；</w:t>
      </w:r>
    </w:p>
    <w:p w14:paraId="7BEA6EB6">
      <w:pPr>
        <w:spacing w:line="400" w:lineRule="exact"/>
        <w:ind w:firstLine="480" w:firstLineChars="200"/>
        <w:rPr>
          <w:szCs w:val="24"/>
        </w:rPr>
      </w:pPr>
      <w:r>
        <w:rPr>
          <w:rFonts w:hint="eastAsia"/>
          <w:szCs w:val="24"/>
        </w:rPr>
        <w:t>（3）投标单位单位负责人为同一人或者存在直接控股、管理关系的不同供应商，不得参加同一合同下的采购活动。（提供“国家企业信用信息公示系统”网站查询截图，须体现股东及出资信息）；</w:t>
      </w:r>
    </w:p>
    <w:p w14:paraId="661422F3">
      <w:pPr>
        <w:spacing w:line="400" w:lineRule="exact"/>
        <w:ind w:firstLine="480" w:firstLineChars="200"/>
        <w:rPr>
          <w:szCs w:val="24"/>
        </w:rPr>
      </w:pPr>
      <w:r>
        <w:rPr>
          <w:rFonts w:hint="eastAsia"/>
          <w:szCs w:val="24"/>
        </w:rPr>
        <w:t>（4）投标人近三年内与我司或其他公司履约过程中出现质量问题、产生经济纠纷的，拒绝其参与本次采购活动（提供承诺书，格式自拟）；</w:t>
      </w:r>
    </w:p>
    <w:p w14:paraId="6492F08F">
      <w:pPr>
        <w:spacing w:line="400" w:lineRule="exact"/>
        <w:ind w:firstLine="480" w:firstLineChars="200"/>
        <w:rPr>
          <w:szCs w:val="24"/>
        </w:rPr>
      </w:pPr>
      <w:r>
        <w:rPr>
          <w:rFonts w:hint="eastAsia"/>
          <w:szCs w:val="24"/>
        </w:rPr>
        <w:t>（5）根据“信用中国”网站（http：//www.creditchina.gov.cn）的查询信息，对列入失信被执行人名单、重大税收违法案件当事人名单、采购严重违法失信行为记录名单以及“企业经营异常名录中被责令停产停业、暂扣或者吊销许可证或者执照。处罚生效日至递交（响应）文件日未满三年的”的供应商，拒绝其参与本次采购活动（提供网站对应查询截图）；</w:t>
      </w:r>
    </w:p>
    <w:p w14:paraId="318B98C7">
      <w:pPr>
        <w:spacing w:line="400" w:lineRule="exact"/>
        <w:ind w:firstLine="480" w:firstLineChars="200"/>
        <w:rPr>
          <w:szCs w:val="24"/>
        </w:rPr>
      </w:pPr>
      <w:r>
        <w:rPr>
          <w:rFonts w:hint="eastAsia"/>
          <w:szCs w:val="24"/>
        </w:rPr>
        <w:t>（6）根据“国家企业信用信息公示系统”网站（http：//www.gsxt.gov.cn）的查询信息，对列入严重违法失信企业名单（黑名单）的供应商，拒绝其参与本次采购活动（提供网站对应查询截图）；</w:t>
      </w:r>
    </w:p>
    <w:p w14:paraId="299B2FBB">
      <w:pPr>
        <w:spacing w:line="400" w:lineRule="exact"/>
        <w:ind w:firstLine="480" w:firstLineChars="200"/>
        <w:rPr>
          <w:color w:val="000000" w:themeColor="text1"/>
          <w:szCs w:val="24"/>
          <w14:textFill>
            <w14:solidFill>
              <w14:schemeClr w14:val="tx1"/>
            </w14:solidFill>
          </w14:textFill>
        </w:rPr>
      </w:pPr>
      <w:r>
        <w:rPr>
          <w:rFonts w:hint="eastAsia"/>
          <w:szCs w:val="24"/>
        </w:rPr>
        <w:t>（</w:t>
      </w:r>
      <w:r>
        <w:rPr>
          <w:szCs w:val="24"/>
        </w:rPr>
        <w:t>7</w:t>
      </w:r>
      <w:r>
        <w:rPr>
          <w:rFonts w:hint="eastAsia"/>
          <w:szCs w:val="24"/>
        </w:rPr>
        <w:t>）</w:t>
      </w:r>
      <w:r>
        <w:rPr>
          <w:rFonts w:hint="eastAsia"/>
        </w:rPr>
        <w:t>市政公用工程施工总承包一级</w:t>
      </w:r>
      <w:r>
        <w:rPr>
          <w:rFonts w:hint="eastAsia"/>
          <w:color w:val="000000" w:themeColor="text1"/>
          <w14:textFill>
            <w14:solidFill>
              <w14:schemeClr w14:val="tx1"/>
            </w14:solidFill>
          </w14:textFill>
        </w:rPr>
        <w:t>资质</w:t>
      </w:r>
      <w:r>
        <w:rPr>
          <w:rFonts w:hint="eastAsia"/>
          <w:color w:val="000000" w:themeColor="text1"/>
          <w:szCs w:val="24"/>
          <w14:textFill>
            <w14:solidFill>
              <w14:schemeClr w14:val="tx1"/>
            </w14:solidFill>
          </w14:textFill>
        </w:rPr>
        <w:t>复印件；</w:t>
      </w:r>
    </w:p>
    <w:p w14:paraId="1C2312AC">
      <w:pPr>
        <w:spacing w:line="400" w:lineRule="exact"/>
        <w:ind w:firstLine="360" w:firstLineChars="150"/>
        <w:rPr>
          <w:szCs w:val="24"/>
        </w:rPr>
      </w:pPr>
      <w:r>
        <w:rPr>
          <w:rFonts w:hint="eastAsia"/>
          <w:color w:val="000000" w:themeColor="text1"/>
          <w:szCs w:val="24"/>
          <w14:textFill>
            <w14:solidFill>
              <w14:schemeClr w14:val="tx1"/>
            </w14:solidFill>
          </w14:textFill>
        </w:rPr>
        <w:t>（8）</w:t>
      </w:r>
      <w:r>
        <w:rPr>
          <w:rFonts w:hint="eastAsia"/>
          <w:color w:val="000000" w:themeColor="text1"/>
          <w14:textFill>
            <w14:solidFill>
              <w14:schemeClr w14:val="tx1"/>
            </w14:solidFill>
          </w14:textFill>
        </w:rPr>
        <w:t>中华人民共和国特种设备压力管道GA2、GB1、GC1、GC2安装许</w:t>
      </w:r>
      <w:r>
        <w:rPr>
          <w:rFonts w:hint="eastAsia"/>
        </w:rPr>
        <w:t>可证</w:t>
      </w:r>
      <w:r>
        <w:rPr>
          <w:rFonts w:hint="eastAsia"/>
          <w:szCs w:val="24"/>
        </w:rPr>
        <w:t>复印件；</w:t>
      </w:r>
    </w:p>
    <w:p w14:paraId="18A6D004">
      <w:pPr>
        <w:pStyle w:val="44"/>
        <w:spacing w:after="0" w:line="370" w:lineRule="exact"/>
        <w:ind w:left="0" w:leftChars="0" w:firstLine="480" w:firstLineChars="200"/>
        <w:rPr>
          <w:color w:val="000000" w:themeColor="text1"/>
          <w:sz w:val="24"/>
          <w:szCs w:val="24"/>
          <w14:textFill>
            <w14:solidFill>
              <w14:schemeClr w14:val="tx1"/>
            </w14:solidFill>
          </w14:textFill>
        </w:rPr>
      </w:pPr>
      <w:r>
        <w:rPr>
          <w:sz w:val="24"/>
          <w:szCs w:val="24"/>
        </w:rPr>
        <w:t>7、标书售价：本套招标文件</w:t>
      </w:r>
      <w:r>
        <w:rPr>
          <w:color w:val="000000" w:themeColor="text1"/>
          <w:sz w:val="24"/>
          <w:szCs w:val="24"/>
          <w14:textFill>
            <w14:solidFill>
              <w14:schemeClr w14:val="tx1"/>
            </w14:solidFill>
          </w14:textFill>
        </w:rPr>
        <w:t>售价人民币</w:t>
      </w:r>
      <w:r>
        <w:rPr>
          <w:rFonts w:hint="eastAsia"/>
          <w:color w:val="000000" w:themeColor="text1"/>
          <w:sz w:val="24"/>
          <w:szCs w:val="24"/>
          <w14:textFill>
            <w14:solidFill>
              <w14:schemeClr w14:val="tx1"/>
            </w14:solidFill>
          </w14:textFill>
        </w:rPr>
        <w:t>伍</w:t>
      </w:r>
      <w:r>
        <w:rPr>
          <w:color w:val="000000" w:themeColor="text1"/>
          <w:sz w:val="24"/>
          <w:szCs w:val="24"/>
          <w14:textFill>
            <w14:solidFill>
              <w14:schemeClr w14:val="tx1"/>
            </w14:solidFill>
          </w14:textFill>
        </w:rPr>
        <w:t>佰元整，售后不退。</w:t>
      </w:r>
    </w:p>
    <w:p w14:paraId="7444A3BC">
      <w:pPr>
        <w:pStyle w:val="44"/>
        <w:spacing w:after="0" w:line="370" w:lineRule="exact"/>
        <w:ind w:left="0" w:leftChars="0" w:firstLine="480" w:firstLineChars="200"/>
        <w:rPr>
          <w:color w:val="000000"/>
          <w:sz w:val="24"/>
          <w:szCs w:val="24"/>
        </w:rPr>
      </w:pPr>
      <w:r>
        <w:rPr>
          <w:color w:val="000000" w:themeColor="text1"/>
          <w:sz w:val="24"/>
          <w:szCs w:val="24"/>
          <w14:textFill>
            <w14:solidFill>
              <w14:schemeClr w14:val="tx1"/>
            </w14:solidFill>
          </w14:textFill>
        </w:rPr>
        <w:t>8、标书发售时间：自招标公告发布之日起~</w:t>
      </w:r>
      <w:r>
        <w:rPr>
          <w:rFonts w:hint="eastAsia"/>
          <w:color w:val="FF0000"/>
          <w:sz w:val="24"/>
          <w:szCs w:val="24"/>
        </w:rPr>
        <w:t>202</w:t>
      </w:r>
      <w:r>
        <w:rPr>
          <w:color w:val="FF0000"/>
          <w:sz w:val="24"/>
          <w:szCs w:val="24"/>
        </w:rPr>
        <w:t>4</w:t>
      </w:r>
      <w:r>
        <w:rPr>
          <w:rFonts w:hint="eastAsia"/>
          <w:color w:val="FF0000"/>
          <w:sz w:val="24"/>
          <w:szCs w:val="24"/>
        </w:rPr>
        <w:t>年9月</w:t>
      </w:r>
      <w:r>
        <w:rPr>
          <w:color w:val="FF0000"/>
          <w:sz w:val="24"/>
          <w:szCs w:val="24"/>
        </w:rPr>
        <w:t xml:space="preserve"> </w:t>
      </w:r>
      <w:r>
        <w:rPr>
          <w:rFonts w:hint="eastAsia"/>
          <w:color w:val="FF0000"/>
          <w:sz w:val="24"/>
          <w:szCs w:val="24"/>
        </w:rPr>
        <w:t>日</w:t>
      </w:r>
      <w:r>
        <w:rPr>
          <w:color w:val="000000" w:themeColor="text1"/>
          <w:sz w:val="24"/>
          <w:szCs w:val="24"/>
          <w14:textFill>
            <w14:solidFill>
              <w14:schemeClr w14:val="tx1"/>
            </w14:solidFill>
          </w14:textFill>
        </w:rPr>
        <w:t>每</w:t>
      </w:r>
      <w:r>
        <w:rPr>
          <w:color w:val="000000"/>
          <w:sz w:val="24"/>
          <w:szCs w:val="24"/>
        </w:rPr>
        <w:t>日8：30~11：00，13：30~1</w:t>
      </w:r>
      <w:r>
        <w:rPr>
          <w:rFonts w:hint="eastAsia"/>
          <w:color w:val="000000"/>
          <w:sz w:val="24"/>
          <w:szCs w:val="24"/>
        </w:rPr>
        <w:t>6</w:t>
      </w:r>
      <w:r>
        <w:rPr>
          <w:color w:val="000000"/>
          <w:sz w:val="24"/>
          <w:szCs w:val="24"/>
        </w:rPr>
        <w:t>：00（节假日除外）</w:t>
      </w:r>
    </w:p>
    <w:p w14:paraId="19B732B0">
      <w:pPr>
        <w:pStyle w:val="44"/>
        <w:spacing w:after="0" w:line="370" w:lineRule="exact"/>
        <w:ind w:left="0" w:leftChars="0" w:firstLine="480" w:firstLineChars="200"/>
        <w:rPr>
          <w:color w:val="000000"/>
          <w:sz w:val="24"/>
          <w:szCs w:val="24"/>
        </w:rPr>
      </w:pPr>
      <w:r>
        <w:rPr>
          <w:color w:val="000000"/>
          <w:sz w:val="24"/>
          <w:szCs w:val="24"/>
        </w:rPr>
        <w:t xml:space="preserve">9、标书发售地点：苏州东吴北路221号   </w:t>
      </w:r>
    </w:p>
    <w:p w14:paraId="1CABA0DA">
      <w:pPr>
        <w:pStyle w:val="44"/>
        <w:spacing w:after="0" w:line="370" w:lineRule="exact"/>
        <w:ind w:left="0" w:leftChars="0" w:firstLine="480" w:firstLineChars="200"/>
        <w:rPr>
          <w:color w:val="000000"/>
          <w:sz w:val="24"/>
          <w:szCs w:val="24"/>
        </w:rPr>
      </w:pPr>
      <w:r>
        <w:rPr>
          <w:color w:val="000000"/>
          <w:sz w:val="24"/>
          <w:szCs w:val="24"/>
        </w:rPr>
        <w:t>10、招标项目联系人及联系方式：</w:t>
      </w:r>
    </w:p>
    <w:p w14:paraId="24624B60">
      <w:pPr>
        <w:pStyle w:val="44"/>
        <w:spacing w:after="0" w:line="370" w:lineRule="exact"/>
        <w:ind w:left="0" w:leftChars="0" w:firstLine="480" w:firstLineChars="200"/>
        <w:rPr>
          <w:color w:val="000000"/>
          <w:sz w:val="24"/>
          <w:szCs w:val="24"/>
        </w:rPr>
      </w:pPr>
      <w:r>
        <w:rPr>
          <w:color w:val="000000"/>
          <w:sz w:val="24"/>
          <w:szCs w:val="24"/>
        </w:rPr>
        <w:t>（1）采购人：苏州燃气集团有限责任公司</w:t>
      </w:r>
    </w:p>
    <w:p w14:paraId="446F81FD">
      <w:pPr>
        <w:pStyle w:val="44"/>
        <w:spacing w:after="0" w:line="370" w:lineRule="exact"/>
        <w:ind w:left="0" w:leftChars="0" w:firstLine="1080" w:firstLineChars="450"/>
        <w:rPr>
          <w:color w:val="000000"/>
          <w:kern w:val="2"/>
          <w:sz w:val="24"/>
          <w:szCs w:val="24"/>
          <w:lang w:val="zh-CN"/>
        </w:rPr>
      </w:pPr>
      <w:r>
        <w:rPr>
          <w:rFonts w:hint="eastAsia"/>
          <w:color w:val="000000"/>
          <w:kern w:val="2"/>
          <w:sz w:val="24"/>
          <w:szCs w:val="24"/>
          <w:lang w:val="zh-CN"/>
        </w:rPr>
        <w:t>联系人：薛晋          联系电</w:t>
      </w:r>
      <w:r>
        <w:rPr>
          <w:rFonts w:hint="eastAsia"/>
          <w:color w:val="000000" w:themeColor="text1"/>
          <w:kern w:val="2"/>
          <w:sz w:val="24"/>
          <w:szCs w:val="24"/>
          <w:lang w:val="zh-CN"/>
          <w14:textFill>
            <w14:solidFill>
              <w14:schemeClr w14:val="tx1"/>
            </w14:solidFill>
          </w14:textFill>
        </w:rPr>
        <w:t>话：</w:t>
      </w:r>
      <w:r>
        <w:rPr>
          <w:color w:val="000000" w:themeColor="text1"/>
          <w:kern w:val="2"/>
          <w:sz w:val="24"/>
          <w:szCs w:val="24"/>
          <w:lang w:val="zh-CN"/>
          <w14:textFill>
            <w14:solidFill>
              <w14:schemeClr w14:val="tx1"/>
            </w14:solidFill>
          </w14:textFill>
        </w:rPr>
        <w:t>0512</w:t>
      </w:r>
      <w:r>
        <w:rPr>
          <w:rFonts w:hint="eastAsia"/>
          <w:color w:val="000000" w:themeColor="text1"/>
          <w:kern w:val="2"/>
          <w:sz w:val="24"/>
          <w:szCs w:val="24"/>
          <w:lang w:val="zh-CN"/>
          <w14:textFill>
            <w14:solidFill>
              <w14:schemeClr w14:val="tx1"/>
            </w14:solidFill>
          </w14:textFill>
        </w:rPr>
        <w:t>-</w:t>
      </w:r>
      <w:r>
        <w:rPr>
          <w:color w:val="000000" w:themeColor="text1"/>
          <w:sz w:val="24"/>
          <w:szCs w:val="24"/>
          <w14:textFill>
            <w14:solidFill>
              <w14:schemeClr w14:val="tx1"/>
            </w14:solidFill>
          </w14:textFill>
        </w:rPr>
        <w:t xml:space="preserve"> </w:t>
      </w:r>
      <w:r>
        <w:rPr>
          <w:rFonts w:hint="eastAsia"/>
          <w:color w:val="000000" w:themeColor="text1"/>
          <w:kern w:val="2"/>
          <w:sz w:val="24"/>
          <w:szCs w:val="24"/>
          <w14:textFill>
            <w14:solidFill>
              <w14:schemeClr w14:val="tx1"/>
            </w14:solidFill>
          </w14:textFill>
        </w:rPr>
        <w:t>67509237</w:t>
      </w:r>
    </w:p>
    <w:p w14:paraId="64AC2FAE">
      <w:pPr>
        <w:pStyle w:val="44"/>
        <w:spacing w:after="0" w:line="370" w:lineRule="exact"/>
        <w:ind w:left="0" w:leftChars="0" w:firstLine="1080" w:firstLineChars="450"/>
        <w:rPr>
          <w:color w:val="000000"/>
          <w:kern w:val="2"/>
          <w:sz w:val="24"/>
          <w:szCs w:val="24"/>
          <w:lang w:val="zh-CN"/>
        </w:rPr>
      </w:pPr>
      <w:r>
        <w:rPr>
          <w:rFonts w:hint="eastAsia"/>
          <w:color w:val="000000"/>
          <w:kern w:val="2"/>
          <w:sz w:val="24"/>
          <w:szCs w:val="24"/>
          <w:lang w:val="zh-CN"/>
        </w:rPr>
        <w:t>地址：苏州市姑苏区劳动路1053号</w:t>
      </w:r>
    </w:p>
    <w:p w14:paraId="6CA7EF11">
      <w:pPr>
        <w:pStyle w:val="44"/>
        <w:spacing w:after="0" w:line="370" w:lineRule="exact"/>
        <w:ind w:left="0" w:leftChars="0" w:firstLine="480" w:firstLineChars="200"/>
        <w:rPr>
          <w:color w:val="000000"/>
          <w:sz w:val="24"/>
          <w:szCs w:val="24"/>
        </w:rPr>
      </w:pPr>
      <w:r>
        <w:rPr>
          <w:color w:val="000000"/>
          <w:sz w:val="24"/>
          <w:szCs w:val="24"/>
        </w:rPr>
        <w:t>（2）招标代理机构：苏州市永诚建设咨询有限公司</w:t>
      </w:r>
    </w:p>
    <w:p w14:paraId="36571DFD">
      <w:pPr>
        <w:pStyle w:val="44"/>
        <w:spacing w:after="0" w:line="370" w:lineRule="exact"/>
        <w:ind w:left="0" w:leftChars="0" w:firstLine="1080" w:firstLineChars="450"/>
        <w:rPr>
          <w:color w:val="000000"/>
          <w:sz w:val="24"/>
          <w:szCs w:val="24"/>
        </w:rPr>
      </w:pPr>
      <w:r>
        <w:rPr>
          <w:color w:val="000000"/>
          <w:sz w:val="24"/>
          <w:szCs w:val="24"/>
        </w:rPr>
        <w:t>地址：苏州东吴北路221号               邮编：21500</w:t>
      </w:r>
      <w:r>
        <w:rPr>
          <w:rFonts w:hint="eastAsia"/>
          <w:color w:val="000000"/>
          <w:sz w:val="24"/>
          <w:szCs w:val="24"/>
        </w:rPr>
        <w:t>7</w:t>
      </w:r>
    </w:p>
    <w:p w14:paraId="58426A63">
      <w:pPr>
        <w:pStyle w:val="44"/>
        <w:spacing w:after="0" w:line="370" w:lineRule="exact"/>
        <w:ind w:left="0" w:leftChars="0" w:firstLine="1080" w:firstLineChars="450"/>
        <w:rPr>
          <w:color w:val="000000"/>
          <w:sz w:val="24"/>
          <w:szCs w:val="24"/>
        </w:rPr>
      </w:pPr>
      <w:r>
        <w:rPr>
          <w:color w:val="000000"/>
          <w:sz w:val="24"/>
          <w:szCs w:val="24"/>
        </w:rPr>
        <w:t xml:space="preserve">联系人：金树梅  </w:t>
      </w:r>
    </w:p>
    <w:p w14:paraId="5A6113C2">
      <w:pPr>
        <w:pStyle w:val="44"/>
        <w:spacing w:after="0" w:line="370" w:lineRule="exact"/>
        <w:ind w:left="0" w:leftChars="0" w:firstLine="1080" w:firstLineChars="450"/>
        <w:rPr>
          <w:color w:val="000000" w:themeColor="text1"/>
          <w:sz w:val="24"/>
          <w:szCs w:val="24"/>
          <w14:textFill>
            <w14:solidFill>
              <w14:schemeClr w14:val="tx1"/>
            </w14:solidFill>
          </w14:textFill>
        </w:rPr>
      </w:pPr>
      <w:r>
        <w:rPr>
          <w:color w:val="000000"/>
          <w:sz w:val="24"/>
          <w:szCs w:val="24"/>
        </w:rPr>
        <w:t>联系电话：0512-</w:t>
      </w:r>
      <w:r>
        <w:rPr>
          <w:rFonts w:hint="eastAsia"/>
          <w:color w:val="000000"/>
          <w:sz w:val="24"/>
          <w:szCs w:val="24"/>
        </w:rPr>
        <w:t>6</w:t>
      </w:r>
      <w:r>
        <w:rPr>
          <w:rFonts w:hint="eastAsia"/>
          <w:color w:val="000000" w:themeColor="text1"/>
          <w:sz w:val="24"/>
          <w:szCs w:val="24"/>
          <w14:textFill>
            <w14:solidFill>
              <w14:schemeClr w14:val="tx1"/>
            </w14:solidFill>
          </w14:textFill>
        </w:rPr>
        <w:t>9157588-809 传真：</w:t>
      </w:r>
      <w:r>
        <w:rPr>
          <w:color w:val="000000" w:themeColor="text1"/>
          <w:sz w:val="24"/>
          <w:szCs w:val="24"/>
          <w14:textFill>
            <w14:solidFill>
              <w14:schemeClr w14:val="tx1"/>
            </w14:solidFill>
          </w14:textFill>
        </w:rPr>
        <w:t>0512-68268668</w:t>
      </w:r>
    </w:p>
    <w:p w14:paraId="7667867A">
      <w:pPr>
        <w:pStyle w:val="44"/>
        <w:spacing w:after="0" w:line="370" w:lineRule="exact"/>
        <w:ind w:left="0" w:leftChars="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11、投标文件递交时间：</w:t>
      </w:r>
      <w:r>
        <w:rPr>
          <w:rFonts w:hint="eastAsia"/>
          <w:color w:val="FF0000"/>
          <w:sz w:val="24"/>
          <w:szCs w:val="24"/>
        </w:rPr>
        <w:t>202</w:t>
      </w:r>
      <w:r>
        <w:rPr>
          <w:color w:val="FF0000"/>
          <w:sz w:val="24"/>
          <w:szCs w:val="24"/>
        </w:rPr>
        <w:t>4</w:t>
      </w:r>
      <w:r>
        <w:rPr>
          <w:rFonts w:hint="eastAsia"/>
          <w:color w:val="FF0000"/>
          <w:sz w:val="24"/>
          <w:szCs w:val="24"/>
        </w:rPr>
        <w:t>年9月</w:t>
      </w:r>
      <w:r>
        <w:rPr>
          <w:color w:val="FF0000"/>
          <w:sz w:val="24"/>
          <w:szCs w:val="24"/>
        </w:rPr>
        <w:t xml:space="preserve"> </w:t>
      </w:r>
      <w:r>
        <w:rPr>
          <w:rFonts w:hint="eastAsia"/>
          <w:color w:val="FF0000"/>
          <w:sz w:val="24"/>
          <w:szCs w:val="24"/>
        </w:rPr>
        <w:t>日</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：00~1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0（北京时间）</w:t>
      </w:r>
    </w:p>
    <w:p w14:paraId="2A698446">
      <w:pPr>
        <w:pStyle w:val="44"/>
        <w:spacing w:after="0" w:line="370" w:lineRule="exact"/>
        <w:ind w:left="0" w:leftChars="0" w:firstLine="960" w:firstLineChars="4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投标截止时间：</w:t>
      </w:r>
      <w:r>
        <w:rPr>
          <w:rFonts w:hint="eastAsia"/>
          <w:color w:val="FF0000"/>
          <w:sz w:val="24"/>
          <w:szCs w:val="24"/>
        </w:rPr>
        <w:t>202</w:t>
      </w:r>
      <w:r>
        <w:rPr>
          <w:color w:val="FF0000"/>
          <w:sz w:val="24"/>
          <w:szCs w:val="24"/>
        </w:rPr>
        <w:t>4</w:t>
      </w:r>
      <w:r>
        <w:rPr>
          <w:rFonts w:hint="eastAsia"/>
          <w:color w:val="FF0000"/>
          <w:sz w:val="24"/>
          <w:szCs w:val="24"/>
        </w:rPr>
        <w:t>年9月</w:t>
      </w:r>
      <w:r>
        <w:rPr>
          <w:color w:val="FF0000"/>
          <w:sz w:val="24"/>
          <w:szCs w:val="24"/>
        </w:rPr>
        <w:t xml:space="preserve"> </w:t>
      </w:r>
      <w:r>
        <w:rPr>
          <w:rFonts w:hint="eastAsia"/>
          <w:color w:val="FF0000"/>
          <w:sz w:val="24"/>
          <w:szCs w:val="24"/>
        </w:rPr>
        <w:t>日</w:t>
      </w:r>
      <w:r>
        <w:rPr>
          <w:rFonts w:hint="eastAsia"/>
          <w:color w:val="000000" w:themeColor="text1"/>
          <w:sz w:val="24"/>
          <w:szCs w:val="24"/>
          <w14:textFill>
            <w14:solidFill>
              <w14:schemeClr w14:val="tx1"/>
            </w14:solidFill>
          </w14:textFill>
        </w:rPr>
        <w:t>14：30</w:t>
      </w:r>
      <w:r>
        <w:rPr>
          <w:color w:val="000000" w:themeColor="text1"/>
          <w:sz w:val="24"/>
          <w:szCs w:val="24"/>
          <w14:textFill>
            <w14:solidFill>
              <w14:schemeClr w14:val="tx1"/>
            </w14:solidFill>
          </w14:textFill>
        </w:rPr>
        <w:t>（北京时间）</w:t>
      </w:r>
    </w:p>
    <w:p w14:paraId="4853A9C3">
      <w:pPr>
        <w:pStyle w:val="44"/>
        <w:spacing w:after="0" w:line="370" w:lineRule="exact"/>
        <w:ind w:left="0" w:leftChars="0" w:firstLine="960" w:firstLineChars="4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地点：</w:t>
      </w:r>
      <w:r>
        <w:rPr>
          <w:rFonts w:hint="eastAsia"/>
          <w:color w:val="000000" w:themeColor="text1"/>
          <w:sz w:val="24"/>
          <w:szCs w:val="24"/>
          <w14:textFill>
            <w14:solidFill>
              <w14:schemeClr w14:val="tx1"/>
            </w14:solidFill>
          </w14:textFill>
        </w:rPr>
        <w:t>苏州市东吴北路221号会议室</w:t>
      </w:r>
    </w:p>
    <w:p w14:paraId="6D3CE323">
      <w:pPr>
        <w:pStyle w:val="44"/>
        <w:spacing w:after="0" w:line="370" w:lineRule="exact"/>
        <w:ind w:left="0" w:leftChars="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12、开标时间：</w:t>
      </w:r>
      <w:r>
        <w:rPr>
          <w:rFonts w:hint="eastAsia"/>
          <w:color w:val="FF0000"/>
          <w:sz w:val="24"/>
          <w:szCs w:val="24"/>
        </w:rPr>
        <w:t>202</w:t>
      </w:r>
      <w:r>
        <w:rPr>
          <w:color w:val="FF0000"/>
          <w:sz w:val="24"/>
          <w:szCs w:val="24"/>
        </w:rPr>
        <w:t>4</w:t>
      </w:r>
      <w:r>
        <w:rPr>
          <w:rFonts w:hint="eastAsia"/>
          <w:color w:val="FF0000"/>
          <w:sz w:val="24"/>
          <w:szCs w:val="24"/>
        </w:rPr>
        <w:t>年9月</w:t>
      </w:r>
      <w:r>
        <w:rPr>
          <w:color w:val="FF0000"/>
          <w:sz w:val="24"/>
          <w:szCs w:val="24"/>
        </w:rPr>
        <w:t xml:space="preserve"> </w:t>
      </w:r>
      <w:r>
        <w:rPr>
          <w:rFonts w:hint="eastAsia"/>
          <w:color w:val="FF0000"/>
          <w:sz w:val="24"/>
          <w:szCs w:val="24"/>
        </w:rPr>
        <w:t>日</w:t>
      </w:r>
      <w:r>
        <w:rPr>
          <w:rFonts w:hint="eastAsia"/>
          <w:color w:val="000000" w:themeColor="text1"/>
          <w:sz w:val="24"/>
          <w:szCs w:val="24"/>
          <w14:textFill>
            <w14:solidFill>
              <w14:schemeClr w14:val="tx1"/>
            </w14:solidFill>
          </w14:textFill>
        </w:rPr>
        <w:t>14：30</w:t>
      </w:r>
      <w:r>
        <w:rPr>
          <w:color w:val="000000" w:themeColor="text1"/>
          <w:sz w:val="24"/>
          <w:szCs w:val="24"/>
          <w14:textFill>
            <w14:solidFill>
              <w14:schemeClr w14:val="tx1"/>
            </w14:solidFill>
          </w14:textFill>
        </w:rPr>
        <w:t>（北京时间）</w:t>
      </w:r>
    </w:p>
    <w:p w14:paraId="03AEB343">
      <w:pPr>
        <w:pStyle w:val="44"/>
        <w:spacing w:after="0" w:line="370" w:lineRule="exact"/>
        <w:ind w:left="0" w:leftChars="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13、开标地点：</w:t>
      </w:r>
      <w:r>
        <w:rPr>
          <w:rFonts w:hint="eastAsia"/>
          <w:color w:val="000000" w:themeColor="text1"/>
          <w:sz w:val="24"/>
          <w:szCs w:val="24"/>
          <w14:textFill>
            <w14:solidFill>
              <w14:schemeClr w14:val="tx1"/>
            </w14:solidFill>
          </w14:textFill>
        </w:rPr>
        <w:t>苏州市东吴北路221号会议室</w:t>
      </w:r>
    </w:p>
    <w:p w14:paraId="366365CF">
      <w:pPr>
        <w:pStyle w:val="44"/>
        <w:spacing w:after="0" w:line="370" w:lineRule="exact"/>
        <w:ind w:left="0" w:leftChars="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14、</w:t>
      </w:r>
      <w:r>
        <w:rPr>
          <w:rFonts w:hint="eastAsia" w:ascii="宋体" w:hAnsi="宋体"/>
          <w:color w:val="000000"/>
          <w:sz w:val="24"/>
          <w:szCs w:val="24"/>
        </w:rPr>
        <w:t>本公告同时在中国招标投标公共服务平台及苏州燃气集团有限责任公司官网上发布。</w:t>
      </w:r>
    </w:p>
    <w:p w14:paraId="0E121A98">
      <w:pPr>
        <w:pStyle w:val="44"/>
        <w:spacing w:after="0" w:line="370" w:lineRule="exact"/>
        <w:ind w:left="0" w:leftChars="0" w:firstLine="960" w:firstLineChars="400"/>
        <w:rPr>
          <w:color w:val="000000" w:themeColor="text1"/>
          <w:sz w:val="24"/>
          <w:szCs w:val="24"/>
          <w14:textFill>
            <w14:solidFill>
              <w14:schemeClr w14:val="tx1"/>
            </w14:solidFill>
          </w14:textFill>
        </w:rPr>
      </w:pPr>
    </w:p>
    <w:p w14:paraId="1D11C1E7">
      <w:pPr>
        <w:pStyle w:val="44"/>
        <w:spacing w:after="0" w:line="370" w:lineRule="exact"/>
        <w:ind w:left="0" w:leftChars="0" w:right="315" w:firstLine="960" w:firstLineChars="400"/>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苏州市永诚建设咨询有限公司</w:t>
      </w:r>
    </w:p>
    <w:p w14:paraId="2682E1A9">
      <w:pPr>
        <w:pStyle w:val="44"/>
        <w:spacing w:after="0" w:line="370" w:lineRule="exact"/>
        <w:ind w:leftChars="17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FF0000"/>
          <w:sz w:val="24"/>
          <w:szCs w:val="24"/>
        </w:rPr>
        <w:t xml:space="preserve">  202</w:t>
      </w:r>
      <w:r>
        <w:rPr>
          <w:color w:val="FF0000"/>
          <w:sz w:val="24"/>
          <w:szCs w:val="24"/>
        </w:rPr>
        <w:t>4</w:t>
      </w:r>
      <w:r>
        <w:rPr>
          <w:rFonts w:hint="eastAsia"/>
          <w:color w:val="FF0000"/>
          <w:sz w:val="24"/>
          <w:szCs w:val="24"/>
        </w:rPr>
        <w:t>年9月</w:t>
      </w:r>
      <w:r>
        <w:rPr>
          <w:color w:val="FF0000"/>
          <w:sz w:val="24"/>
          <w:szCs w:val="24"/>
        </w:rPr>
        <w:t xml:space="preserve"> </w:t>
      </w:r>
      <w:r>
        <w:rPr>
          <w:rFonts w:hint="eastAsia"/>
          <w:color w:val="FF0000"/>
          <w:sz w:val="24"/>
          <w:szCs w:val="24"/>
        </w:rPr>
        <w:t>日</w:t>
      </w:r>
    </w:p>
    <w:p w14:paraId="587BCEA5">
      <w:pPr>
        <w:widowControl w:val="0"/>
        <w:spacing w:before="240" w:after="240"/>
        <w:rPr>
          <w:rFonts w:eastAsia="黑体"/>
          <w:b/>
          <w:bCs/>
          <w:spacing w:val="20"/>
          <w:sz w:val="30"/>
        </w:rPr>
      </w:pPr>
    </w:p>
    <w:p w14:paraId="79235E14">
      <w:pPr>
        <w:spacing w:line="420" w:lineRule="exact"/>
        <w:ind w:left="482"/>
        <w:jc w:val="center"/>
        <w:outlineLvl w:val="0"/>
        <w:rPr>
          <w:rFonts w:eastAsia="黑体"/>
          <w:b/>
          <w:bCs/>
          <w:sz w:val="32"/>
          <w:szCs w:val="32"/>
        </w:rPr>
      </w:pPr>
      <w:r>
        <w:rPr>
          <w:rFonts w:eastAsia="黑体"/>
          <w:b/>
          <w:bCs/>
          <w:spacing w:val="20"/>
          <w:sz w:val="30"/>
        </w:rPr>
        <w:br w:type="page"/>
      </w:r>
      <w:r>
        <w:rPr>
          <w:rFonts w:eastAsia="黑体"/>
          <w:b/>
          <w:bCs/>
          <w:kern w:val="2"/>
          <w:sz w:val="32"/>
          <w:szCs w:val="32"/>
        </w:rPr>
        <w:t>第</w:t>
      </w:r>
      <w:r>
        <w:rPr>
          <w:rFonts w:hint="eastAsia" w:eastAsia="黑体"/>
          <w:b/>
          <w:bCs/>
          <w:kern w:val="2"/>
          <w:sz w:val="32"/>
          <w:szCs w:val="32"/>
        </w:rPr>
        <w:t>二</w:t>
      </w:r>
      <w:r>
        <w:rPr>
          <w:rFonts w:eastAsia="黑体"/>
          <w:b/>
          <w:bCs/>
          <w:kern w:val="2"/>
          <w:sz w:val="32"/>
          <w:szCs w:val="32"/>
        </w:rPr>
        <w:t xml:space="preserve">章  </w:t>
      </w:r>
      <w:r>
        <w:rPr>
          <w:rFonts w:eastAsia="黑体"/>
          <w:b/>
          <w:bCs/>
          <w:sz w:val="32"/>
          <w:szCs w:val="32"/>
        </w:rPr>
        <w:t>投标人须知</w:t>
      </w:r>
      <w:bookmarkStart w:id="0" w:name="_Toc142194257"/>
    </w:p>
    <w:bookmarkEnd w:id="0"/>
    <w:p w14:paraId="74554F9D">
      <w:pPr>
        <w:autoSpaceDE w:val="0"/>
        <w:autoSpaceDN w:val="0"/>
        <w:spacing w:line="400" w:lineRule="exact"/>
        <w:rPr>
          <w:rFonts w:ascii="宋体" w:hAnsi="宋体"/>
          <w:b/>
          <w:szCs w:val="24"/>
        </w:rPr>
      </w:pPr>
      <w:r>
        <w:rPr>
          <w:rFonts w:hint="eastAsia" w:ascii="宋体" w:hAnsi="宋体"/>
          <w:b/>
          <w:szCs w:val="24"/>
          <w:lang w:val="zh-CN"/>
        </w:rPr>
        <w:t>一、说明和释义</w:t>
      </w:r>
    </w:p>
    <w:p w14:paraId="76DFD38B">
      <w:pPr>
        <w:autoSpaceDE w:val="0"/>
        <w:autoSpaceDN w:val="0"/>
        <w:spacing w:line="400" w:lineRule="exact"/>
        <w:rPr>
          <w:rFonts w:ascii="宋体" w:hAnsi="宋体"/>
          <w:b/>
          <w:szCs w:val="24"/>
        </w:rPr>
      </w:pPr>
      <w:r>
        <w:rPr>
          <w:rFonts w:hint="eastAsia" w:ascii="宋体" w:hAnsi="宋体"/>
          <w:b/>
          <w:szCs w:val="24"/>
          <w:lang w:val="zh-CN"/>
        </w:rPr>
        <w:t>1</w:t>
      </w:r>
      <w:r>
        <w:rPr>
          <w:rFonts w:hint="eastAsia" w:ascii="宋体" w:hAnsi="宋体"/>
          <w:b/>
          <w:szCs w:val="24"/>
        </w:rPr>
        <w:t>．</w:t>
      </w:r>
      <w:r>
        <w:rPr>
          <w:rFonts w:hint="eastAsia" w:ascii="宋体" w:hAnsi="宋体"/>
          <w:b/>
          <w:szCs w:val="24"/>
          <w:lang w:val="zh-CN"/>
        </w:rPr>
        <w:t>说明</w:t>
      </w:r>
    </w:p>
    <w:p w14:paraId="3B33815A">
      <w:pPr>
        <w:autoSpaceDE w:val="0"/>
        <w:autoSpaceDN w:val="0"/>
        <w:spacing w:line="400" w:lineRule="exact"/>
        <w:rPr>
          <w:rFonts w:ascii="宋体" w:hAnsi="宋体"/>
          <w:szCs w:val="24"/>
          <w:lang w:val="zh-CN"/>
        </w:rPr>
      </w:pPr>
      <w:r>
        <w:rPr>
          <w:rFonts w:hint="eastAsia" w:ascii="宋体" w:hAnsi="宋体"/>
          <w:szCs w:val="24"/>
          <w:lang w:val="zh-CN"/>
        </w:rPr>
        <w:t>1.1本招标文件仅适用于苏州市永诚建设咨询有限公司组织的招标活动。</w:t>
      </w:r>
    </w:p>
    <w:p w14:paraId="67A86355">
      <w:pPr>
        <w:autoSpaceDE w:val="0"/>
        <w:autoSpaceDN w:val="0"/>
        <w:spacing w:line="400" w:lineRule="exact"/>
        <w:rPr>
          <w:rFonts w:ascii="宋体" w:hAnsi="宋体"/>
          <w:szCs w:val="24"/>
          <w:lang w:val="zh-CN"/>
        </w:rPr>
      </w:pPr>
      <w:r>
        <w:rPr>
          <w:rFonts w:hint="eastAsia" w:ascii="宋体" w:hAnsi="宋体"/>
          <w:szCs w:val="24"/>
          <w:lang w:val="zh-CN"/>
        </w:rPr>
        <w:t>1.2本次招标活动及因本次招标产生的合同受中国法律制约和保护。</w:t>
      </w:r>
    </w:p>
    <w:p w14:paraId="60860484">
      <w:pPr>
        <w:autoSpaceDE w:val="0"/>
        <w:autoSpaceDN w:val="0"/>
        <w:spacing w:line="400" w:lineRule="exact"/>
        <w:rPr>
          <w:rFonts w:ascii="宋体" w:hAnsi="宋体"/>
          <w:szCs w:val="24"/>
          <w:lang w:val="zh-CN"/>
        </w:rPr>
      </w:pPr>
      <w:r>
        <w:rPr>
          <w:rFonts w:hint="eastAsia" w:ascii="宋体" w:hAnsi="宋体"/>
          <w:szCs w:val="24"/>
          <w:lang w:val="zh-CN"/>
        </w:rPr>
        <w:t>1.3本招标文件的解释权属于苏州市永诚建设咨询有限公司。</w:t>
      </w:r>
    </w:p>
    <w:p w14:paraId="1D2C4E16">
      <w:pPr>
        <w:autoSpaceDE w:val="0"/>
        <w:autoSpaceDN w:val="0"/>
        <w:spacing w:line="400" w:lineRule="exact"/>
        <w:rPr>
          <w:rFonts w:ascii="宋体" w:hAnsi="宋体"/>
          <w:b/>
          <w:szCs w:val="24"/>
        </w:rPr>
      </w:pPr>
      <w:r>
        <w:rPr>
          <w:rFonts w:hint="eastAsia" w:ascii="宋体" w:hAnsi="宋体"/>
          <w:b/>
          <w:szCs w:val="24"/>
          <w:lang w:val="zh-CN"/>
        </w:rPr>
        <w:t>2</w:t>
      </w:r>
      <w:r>
        <w:rPr>
          <w:rFonts w:hint="eastAsia" w:ascii="宋体" w:hAnsi="宋体"/>
          <w:b/>
          <w:szCs w:val="24"/>
        </w:rPr>
        <w:t>．</w:t>
      </w:r>
      <w:r>
        <w:rPr>
          <w:rFonts w:hint="eastAsia" w:ascii="宋体" w:hAnsi="宋体"/>
          <w:b/>
          <w:szCs w:val="24"/>
          <w:lang w:val="zh-CN"/>
        </w:rPr>
        <w:t>词语释义</w:t>
      </w:r>
    </w:p>
    <w:p w14:paraId="2EF7F5C2">
      <w:pPr>
        <w:autoSpaceDE w:val="0"/>
        <w:autoSpaceDN w:val="0"/>
        <w:spacing w:line="400" w:lineRule="exact"/>
        <w:rPr>
          <w:rFonts w:ascii="宋体" w:hAnsi="宋体"/>
          <w:szCs w:val="24"/>
          <w:lang w:val="zh-CN"/>
        </w:rPr>
      </w:pPr>
      <w:r>
        <w:rPr>
          <w:rFonts w:ascii="宋体" w:hAnsi="宋体"/>
          <w:szCs w:val="24"/>
          <w:lang w:val="zh-CN"/>
        </w:rPr>
        <w:t>2.1</w:t>
      </w:r>
      <w:r>
        <w:rPr>
          <w:rFonts w:hint="eastAsia" w:ascii="宋体" w:hAnsi="宋体"/>
          <w:szCs w:val="24"/>
          <w:lang w:val="zh-CN"/>
        </w:rPr>
        <w:t>招标代理机构：具体组织实施招标活动的法人。</w:t>
      </w:r>
    </w:p>
    <w:p w14:paraId="259CECE1">
      <w:pPr>
        <w:autoSpaceDE w:val="0"/>
        <w:autoSpaceDN w:val="0"/>
        <w:spacing w:line="400" w:lineRule="exact"/>
        <w:rPr>
          <w:rFonts w:ascii="宋体" w:hAnsi="宋体"/>
          <w:szCs w:val="24"/>
          <w:lang w:val="zh-CN"/>
        </w:rPr>
      </w:pPr>
      <w:r>
        <w:rPr>
          <w:rFonts w:ascii="宋体" w:hAnsi="宋体"/>
          <w:szCs w:val="24"/>
          <w:lang w:val="zh-CN"/>
        </w:rPr>
        <w:t>2.2</w:t>
      </w:r>
      <w:r>
        <w:rPr>
          <w:rFonts w:hint="eastAsia" w:ascii="宋体" w:hAnsi="宋体"/>
          <w:szCs w:val="24"/>
          <w:lang w:val="zh-CN"/>
        </w:rPr>
        <w:t>投标人：经认定有资格响应招标，参加投标竞争的法人或其他组织和自然人。</w:t>
      </w:r>
    </w:p>
    <w:p w14:paraId="68857CF1">
      <w:pPr>
        <w:autoSpaceDE w:val="0"/>
        <w:autoSpaceDN w:val="0"/>
        <w:spacing w:line="400" w:lineRule="exact"/>
        <w:rPr>
          <w:rFonts w:ascii="宋体" w:hAnsi="宋体"/>
          <w:szCs w:val="24"/>
          <w:lang w:val="zh-CN"/>
        </w:rPr>
      </w:pPr>
      <w:r>
        <w:rPr>
          <w:rFonts w:ascii="宋体" w:hAnsi="宋体"/>
          <w:szCs w:val="24"/>
          <w:lang w:val="zh-CN"/>
        </w:rPr>
        <w:t>2.3</w:t>
      </w:r>
      <w:r>
        <w:rPr>
          <w:rFonts w:hint="eastAsia" w:ascii="宋体" w:hAnsi="宋体"/>
          <w:szCs w:val="24"/>
          <w:lang w:val="zh-CN"/>
        </w:rPr>
        <w:t>响应：投标人根据招标代理机构或招标代理机构发布的招标文件，编制投标文件并按规定投标的行为。</w:t>
      </w:r>
    </w:p>
    <w:p w14:paraId="268B7E2A">
      <w:pPr>
        <w:autoSpaceDE w:val="0"/>
        <w:autoSpaceDN w:val="0"/>
        <w:spacing w:line="400" w:lineRule="exact"/>
        <w:rPr>
          <w:rFonts w:ascii="宋体" w:hAnsi="宋体"/>
          <w:szCs w:val="24"/>
          <w:lang w:val="zh-CN"/>
        </w:rPr>
      </w:pPr>
      <w:r>
        <w:rPr>
          <w:rFonts w:ascii="宋体" w:hAnsi="宋体"/>
          <w:szCs w:val="24"/>
          <w:lang w:val="zh-CN"/>
        </w:rPr>
        <w:t>2.4</w:t>
      </w:r>
      <w:r>
        <w:rPr>
          <w:rFonts w:hint="eastAsia" w:ascii="宋体" w:hAnsi="宋体"/>
          <w:szCs w:val="24"/>
          <w:lang w:val="zh-CN"/>
        </w:rPr>
        <w:t>合同：</w:t>
      </w:r>
      <w:r>
        <w:rPr>
          <w:rFonts w:hint="eastAsia" w:ascii="宋体" w:hAnsi="宋体"/>
          <w:szCs w:val="24"/>
        </w:rPr>
        <w:t>甲乙</w:t>
      </w:r>
      <w:r>
        <w:rPr>
          <w:rFonts w:hint="eastAsia" w:ascii="宋体" w:hAnsi="宋体"/>
          <w:szCs w:val="24"/>
          <w:lang w:val="zh-CN"/>
        </w:rPr>
        <w:t>双方根据招标文件和中标的投标文件及中标通知书规定的内容签署的以书面形式所达成的协议，包括所有的附件、附录和构成协议的所有文件。</w:t>
      </w:r>
    </w:p>
    <w:p w14:paraId="1C0AF479">
      <w:pPr>
        <w:autoSpaceDE w:val="0"/>
        <w:autoSpaceDN w:val="0"/>
        <w:spacing w:line="400" w:lineRule="exact"/>
        <w:rPr>
          <w:rFonts w:ascii="宋体" w:hAnsi="宋体"/>
          <w:szCs w:val="24"/>
          <w:lang w:val="zh-CN"/>
        </w:rPr>
      </w:pPr>
      <w:r>
        <w:rPr>
          <w:rFonts w:ascii="宋体" w:hAnsi="宋体"/>
          <w:szCs w:val="24"/>
          <w:lang w:val="zh-CN"/>
        </w:rPr>
        <w:t>2.5</w:t>
      </w:r>
      <w:r>
        <w:rPr>
          <w:rFonts w:hint="eastAsia" w:ascii="宋体" w:hAnsi="宋体"/>
          <w:szCs w:val="24"/>
          <w:lang w:val="zh-CN"/>
        </w:rPr>
        <w:t>甲方：合同中明确规定的实际购买服务的法人或其他组织和自然人（招标人）。</w:t>
      </w:r>
    </w:p>
    <w:p w14:paraId="53224148">
      <w:pPr>
        <w:autoSpaceDE w:val="0"/>
        <w:autoSpaceDN w:val="0"/>
        <w:spacing w:line="400" w:lineRule="exact"/>
        <w:rPr>
          <w:rFonts w:ascii="宋体" w:hAnsi="宋体"/>
          <w:szCs w:val="24"/>
          <w:lang w:val="zh-CN"/>
        </w:rPr>
      </w:pPr>
      <w:r>
        <w:rPr>
          <w:rFonts w:ascii="宋体" w:hAnsi="宋体"/>
          <w:szCs w:val="24"/>
          <w:lang w:val="zh-CN"/>
        </w:rPr>
        <w:t>2.6</w:t>
      </w:r>
      <w:r>
        <w:rPr>
          <w:rFonts w:hint="eastAsia" w:ascii="宋体" w:hAnsi="宋体"/>
          <w:szCs w:val="24"/>
          <w:lang w:val="zh-CN"/>
        </w:rPr>
        <w:t>乙方：合同中规定的向招标人提供服务的法人或其他组织和自然人（中标人）。</w:t>
      </w:r>
    </w:p>
    <w:p w14:paraId="5D8FCD9B">
      <w:pPr>
        <w:autoSpaceDE w:val="0"/>
        <w:autoSpaceDN w:val="0"/>
        <w:spacing w:line="400" w:lineRule="exact"/>
        <w:rPr>
          <w:rFonts w:ascii="宋体" w:hAnsi="宋体"/>
          <w:szCs w:val="24"/>
          <w:lang w:val="zh-CN"/>
        </w:rPr>
      </w:pPr>
      <w:r>
        <w:rPr>
          <w:rFonts w:ascii="宋体" w:hAnsi="宋体"/>
          <w:szCs w:val="24"/>
          <w:lang w:val="zh-CN"/>
        </w:rPr>
        <w:t>2.</w:t>
      </w:r>
      <w:r>
        <w:rPr>
          <w:rFonts w:ascii="宋体" w:hAnsi="宋体"/>
          <w:szCs w:val="24"/>
        </w:rPr>
        <w:t>7</w:t>
      </w:r>
      <w:r>
        <w:rPr>
          <w:rFonts w:hint="eastAsia" w:ascii="宋体" w:hAnsi="宋体"/>
          <w:szCs w:val="24"/>
          <w:lang w:val="zh-CN"/>
        </w:rPr>
        <w:t>知识产权：指专利权、商标权、著作权等无形财产专有权的统称。</w:t>
      </w:r>
    </w:p>
    <w:p w14:paraId="24D30342">
      <w:pPr>
        <w:autoSpaceDE w:val="0"/>
        <w:autoSpaceDN w:val="0"/>
        <w:spacing w:line="400" w:lineRule="exact"/>
        <w:rPr>
          <w:rFonts w:ascii="宋体" w:hAnsi="宋体"/>
          <w:szCs w:val="24"/>
          <w:lang w:val="zh-CN"/>
        </w:rPr>
      </w:pPr>
      <w:r>
        <w:rPr>
          <w:rFonts w:ascii="宋体" w:hAnsi="宋体"/>
          <w:szCs w:val="24"/>
          <w:lang w:val="zh-CN"/>
        </w:rPr>
        <w:t>2.</w:t>
      </w:r>
      <w:r>
        <w:rPr>
          <w:rFonts w:ascii="宋体" w:hAnsi="宋体"/>
          <w:szCs w:val="24"/>
        </w:rPr>
        <w:t>8</w:t>
      </w:r>
      <w:r>
        <w:rPr>
          <w:rFonts w:hint="eastAsia" w:ascii="宋体" w:hAnsi="宋体"/>
          <w:szCs w:val="24"/>
          <w:lang w:val="zh-CN"/>
        </w:rPr>
        <w:t>天：日历日。</w:t>
      </w:r>
    </w:p>
    <w:p w14:paraId="3C98693F">
      <w:pPr>
        <w:autoSpaceDE w:val="0"/>
        <w:autoSpaceDN w:val="0"/>
        <w:spacing w:line="400" w:lineRule="exact"/>
        <w:rPr>
          <w:rFonts w:ascii="宋体" w:hAnsi="宋体"/>
          <w:szCs w:val="24"/>
          <w:lang w:val="zh-CN"/>
        </w:rPr>
      </w:pPr>
      <w:r>
        <w:rPr>
          <w:rFonts w:ascii="宋体" w:hAnsi="宋体"/>
          <w:szCs w:val="24"/>
          <w:lang w:val="zh-CN"/>
        </w:rPr>
        <w:t>2.</w:t>
      </w:r>
      <w:r>
        <w:rPr>
          <w:rFonts w:ascii="宋体" w:hAnsi="宋体"/>
          <w:szCs w:val="24"/>
        </w:rPr>
        <w:t>9</w:t>
      </w:r>
      <w:r>
        <w:rPr>
          <w:rFonts w:hint="eastAsia" w:ascii="宋体" w:hAnsi="宋体"/>
          <w:szCs w:val="24"/>
          <w:lang w:val="zh-CN"/>
        </w:rPr>
        <w:t>服务地点：合同中明确约定的</w:t>
      </w:r>
      <w:r>
        <w:rPr>
          <w:rFonts w:hint="eastAsia" w:ascii="宋体" w:hAnsi="宋体"/>
          <w:szCs w:val="24"/>
        </w:rPr>
        <w:t>服务项目所在地。</w:t>
      </w:r>
    </w:p>
    <w:p w14:paraId="539AA936">
      <w:pPr>
        <w:autoSpaceDE w:val="0"/>
        <w:autoSpaceDN w:val="0"/>
        <w:spacing w:line="400" w:lineRule="exact"/>
        <w:rPr>
          <w:rFonts w:ascii="宋体" w:hAnsi="宋体"/>
          <w:szCs w:val="24"/>
          <w:lang w:val="zh-CN"/>
        </w:rPr>
      </w:pPr>
      <w:r>
        <w:rPr>
          <w:rFonts w:ascii="宋体" w:hAnsi="宋体"/>
          <w:szCs w:val="24"/>
          <w:lang w:val="zh-CN"/>
        </w:rPr>
        <w:t>2.</w:t>
      </w:r>
      <w:r>
        <w:rPr>
          <w:rFonts w:ascii="宋体" w:hAnsi="宋体"/>
          <w:szCs w:val="24"/>
        </w:rPr>
        <w:t>10</w:t>
      </w:r>
      <w:r>
        <w:rPr>
          <w:rFonts w:ascii="宋体" w:hAnsi="宋体"/>
          <w:szCs w:val="24"/>
          <w:lang w:val="zh-CN"/>
        </w:rPr>
        <w:t xml:space="preserve"> </w:t>
      </w:r>
      <w:r>
        <w:rPr>
          <w:rFonts w:hint="eastAsia" w:ascii="宋体" w:hAnsi="宋体"/>
          <w:szCs w:val="24"/>
          <w:lang w:val="zh-CN"/>
        </w:rPr>
        <w:t>合同价款：根据合同规定，乙方在正确地履行合同义务后甲方应支付乙方的价款。</w:t>
      </w:r>
    </w:p>
    <w:p w14:paraId="3C6A88F9">
      <w:pPr>
        <w:spacing w:line="400" w:lineRule="exact"/>
        <w:rPr>
          <w:rFonts w:ascii="宋体" w:hAnsi="宋体"/>
          <w:szCs w:val="24"/>
          <w:lang w:val="zh-CN"/>
        </w:rPr>
      </w:pPr>
      <w:r>
        <w:rPr>
          <w:rFonts w:ascii="宋体" w:hAnsi="宋体"/>
          <w:szCs w:val="24"/>
          <w:lang w:val="zh-CN"/>
        </w:rPr>
        <w:t>2.1</w:t>
      </w:r>
      <w:r>
        <w:rPr>
          <w:rFonts w:ascii="宋体" w:hAnsi="宋体"/>
          <w:szCs w:val="24"/>
        </w:rPr>
        <w:t>1</w:t>
      </w:r>
      <w:r>
        <w:rPr>
          <w:rFonts w:hint="eastAsia" w:ascii="宋体" w:hAnsi="宋体"/>
          <w:szCs w:val="24"/>
          <w:lang w:val="zh-CN"/>
        </w:rPr>
        <w:t>不可抗力：不能预见、不能避免并且不能克服的客观情况。</w:t>
      </w:r>
    </w:p>
    <w:p w14:paraId="76E56A79">
      <w:pPr>
        <w:spacing w:line="400" w:lineRule="exact"/>
        <w:rPr>
          <w:rFonts w:ascii="宋体" w:hAnsi="宋体"/>
          <w:szCs w:val="24"/>
        </w:rPr>
      </w:pPr>
      <w:r>
        <w:rPr>
          <w:rFonts w:ascii="宋体" w:hAnsi="宋体"/>
          <w:szCs w:val="24"/>
        </w:rPr>
        <w:t>2.12</w:t>
      </w:r>
      <w:r>
        <w:rPr>
          <w:rFonts w:hint="eastAsia" w:ascii="宋体" w:hAnsi="宋体"/>
          <w:szCs w:val="24"/>
        </w:rPr>
        <w:t>实质响应：满足有关本项目服务的岗位设置及人员配备数量、管理机构的设置、服务管理实施方案、服务验收方案、工具及易耗品清单表、质量要求、价款或者报酬、履行期限、履行地点和方式、违约责任和解决争议方法等要求。</w:t>
      </w:r>
    </w:p>
    <w:p w14:paraId="75D1C5A9">
      <w:pPr>
        <w:spacing w:line="400" w:lineRule="exact"/>
        <w:rPr>
          <w:rFonts w:ascii="宋体" w:hAnsi="宋体"/>
          <w:szCs w:val="24"/>
        </w:rPr>
      </w:pPr>
      <w:r>
        <w:rPr>
          <w:rFonts w:ascii="宋体" w:hAnsi="宋体"/>
          <w:szCs w:val="24"/>
        </w:rPr>
        <w:t>2.13</w:t>
      </w:r>
      <w:r>
        <w:rPr>
          <w:rFonts w:hint="eastAsia" w:ascii="宋体" w:hAnsi="宋体"/>
          <w:szCs w:val="24"/>
          <w:lang w:val="zh-CN"/>
        </w:rPr>
        <w:t>进口产品：通过中国海关报关验放进入中国境内且产自关境外的产品</w:t>
      </w:r>
      <w:r>
        <w:rPr>
          <w:rFonts w:hint="eastAsia" w:ascii="宋体" w:hAnsi="宋体"/>
          <w:szCs w:val="24"/>
        </w:rPr>
        <w:t>。</w:t>
      </w:r>
    </w:p>
    <w:p w14:paraId="35C6EFBB">
      <w:pPr>
        <w:spacing w:line="400" w:lineRule="exact"/>
        <w:rPr>
          <w:rFonts w:ascii="宋体" w:hAnsi="宋体"/>
          <w:szCs w:val="24"/>
        </w:rPr>
      </w:pPr>
      <w:r>
        <w:rPr>
          <w:rFonts w:ascii="宋体" w:hAnsi="宋体"/>
          <w:szCs w:val="24"/>
        </w:rPr>
        <w:t>2.14</w:t>
      </w:r>
      <w:r>
        <w:rPr>
          <w:rFonts w:hint="eastAsia" w:ascii="宋体" w:hAnsi="宋体"/>
          <w:szCs w:val="24"/>
        </w:rPr>
        <w:t>书面形式：指书面文字、合同书、信件和传真等可以有形地表现所载内容的形式。</w:t>
      </w:r>
    </w:p>
    <w:p w14:paraId="214FFACB">
      <w:pPr>
        <w:autoSpaceDE w:val="0"/>
        <w:autoSpaceDN w:val="0"/>
        <w:spacing w:line="400" w:lineRule="exact"/>
        <w:rPr>
          <w:rFonts w:ascii="宋体" w:hAnsi="宋体"/>
          <w:b/>
          <w:szCs w:val="24"/>
          <w:lang w:val="zh-CN"/>
        </w:rPr>
      </w:pPr>
      <w:r>
        <w:rPr>
          <w:rFonts w:hint="eastAsia" w:ascii="宋体" w:hAnsi="宋体"/>
          <w:b/>
          <w:szCs w:val="24"/>
          <w:lang w:val="zh-CN"/>
        </w:rPr>
        <w:t>二、投标人</w:t>
      </w:r>
    </w:p>
    <w:p w14:paraId="2CA78A07">
      <w:pPr>
        <w:spacing w:line="400" w:lineRule="exact"/>
        <w:rPr>
          <w:rFonts w:ascii="宋体" w:hAnsi="宋体"/>
          <w:b/>
          <w:szCs w:val="24"/>
        </w:rPr>
      </w:pPr>
      <w:r>
        <w:rPr>
          <w:rFonts w:ascii="宋体" w:hAnsi="宋体"/>
          <w:b/>
          <w:szCs w:val="24"/>
        </w:rPr>
        <w:t>3</w:t>
      </w:r>
      <w:r>
        <w:rPr>
          <w:rFonts w:hint="eastAsia" w:ascii="宋体" w:hAnsi="宋体"/>
          <w:b/>
          <w:szCs w:val="24"/>
        </w:rPr>
        <w:t>．合格投标人的范围</w:t>
      </w:r>
    </w:p>
    <w:p w14:paraId="507972DA">
      <w:pPr>
        <w:spacing w:line="400" w:lineRule="exact"/>
        <w:rPr>
          <w:rFonts w:ascii="宋体" w:hAnsi="宋体"/>
          <w:szCs w:val="24"/>
        </w:rPr>
      </w:pPr>
      <w:r>
        <w:rPr>
          <w:rFonts w:hint="eastAsia" w:ascii="宋体" w:hAnsi="宋体"/>
          <w:szCs w:val="24"/>
        </w:rPr>
        <w:t>符合《中华人民共和国招标投标法》规定。</w:t>
      </w:r>
    </w:p>
    <w:p w14:paraId="1DC70F90">
      <w:pPr>
        <w:spacing w:line="400" w:lineRule="exact"/>
        <w:rPr>
          <w:rFonts w:ascii="宋体" w:hAnsi="宋体"/>
          <w:b/>
          <w:szCs w:val="24"/>
        </w:rPr>
      </w:pPr>
      <w:r>
        <w:rPr>
          <w:rFonts w:ascii="宋体" w:hAnsi="宋体"/>
          <w:b/>
          <w:szCs w:val="24"/>
        </w:rPr>
        <w:t>4</w:t>
      </w:r>
      <w:r>
        <w:rPr>
          <w:rFonts w:hint="eastAsia" w:ascii="宋体" w:hAnsi="宋体"/>
          <w:b/>
          <w:szCs w:val="24"/>
        </w:rPr>
        <w:t>．合格投标人的特殊条件</w:t>
      </w:r>
    </w:p>
    <w:p w14:paraId="42EFD262">
      <w:pPr>
        <w:spacing w:line="400" w:lineRule="exact"/>
        <w:rPr>
          <w:rFonts w:ascii="宋体" w:hAnsi="宋体"/>
          <w:szCs w:val="24"/>
        </w:rPr>
      </w:pPr>
      <w:r>
        <w:rPr>
          <w:rFonts w:hint="eastAsia" w:ascii="宋体" w:hAnsi="宋体"/>
          <w:szCs w:val="24"/>
        </w:rPr>
        <w:t>4.1、具有市政公用工程施工总承包一级资质；</w:t>
      </w:r>
    </w:p>
    <w:p w14:paraId="0000D07C">
      <w:pPr>
        <w:spacing w:line="400" w:lineRule="exact"/>
        <w:rPr>
          <w:rFonts w:ascii="宋体" w:hAnsi="宋体"/>
          <w:szCs w:val="24"/>
        </w:rPr>
      </w:pPr>
      <w:r>
        <w:rPr>
          <w:rFonts w:hint="eastAsia" w:ascii="宋体" w:hAnsi="宋体"/>
          <w:szCs w:val="24"/>
        </w:rPr>
        <w:t>4.2、具有中华人民共和国特种设备压力管道GA2、GB1、GC1、GC2安装许可证。</w:t>
      </w:r>
    </w:p>
    <w:p w14:paraId="09DDC270">
      <w:pPr>
        <w:spacing w:line="400" w:lineRule="exact"/>
        <w:outlineLvl w:val="0"/>
        <w:rPr>
          <w:rFonts w:ascii="宋体" w:hAnsi="宋体"/>
          <w:b/>
          <w:szCs w:val="24"/>
        </w:rPr>
      </w:pPr>
      <w:r>
        <w:rPr>
          <w:rFonts w:ascii="宋体" w:hAnsi="宋体"/>
          <w:b/>
          <w:szCs w:val="24"/>
        </w:rPr>
        <w:t>5</w:t>
      </w:r>
      <w:r>
        <w:rPr>
          <w:rFonts w:hint="eastAsia" w:ascii="宋体" w:hAnsi="宋体"/>
          <w:b/>
          <w:szCs w:val="24"/>
        </w:rPr>
        <w:t>．投标人代表</w:t>
      </w:r>
    </w:p>
    <w:p w14:paraId="10CCEE9A">
      <w:pPr>
        <w:pStyle w:val="44"/>
        <w:spacing w:after="0" w:line="400" w:lineRule="exact"/>
        <w:ind w:left="0" w:leftChars="0"/>
        <w:rPr>
          <w:rFonts w:ascii="宋体" w:hAnsi="宋体"/>
          <w:sz w:val="24"/>
          <w:szCs w:val="24"/>
        </w:rPr>
      </w:pPr>
      <w:r>
        <w:rPr>
          <w:rFonts w:ascii="宋体" w:hAnsi="宋体"/>
          <w:sz w:val="24"/>
          <w:szCs w:val="24"/>
        </w:rPr>
        <w:t>5.1</w:t>
      </w:r>
      <w:r>
        <w:rPr>
          <w:rFonts w:hint="eastAsia" w:ascii="宋体" w:hAnsi="宋体"/>
          <w:sz w:val="24"/>
          <w:szCs w:val="24"/>
        </w:rPr>
        <w:t>指全权代表投标人参加投标活动并签署投标文件的人，如果投标人代表不是法定代表人，须持有《法人授权委托书》（详见统一格式）。</w:t>
      </w:r>
    </w:p>
    <w:p w14:paraId="17A683D0">
      <w:pPr>
        <w:spacing w:line="400" w:lineRule="exact"/>
        <w:outlineLvl w:val="0"/>
        <w:rPr>
          <w:rFonts w:ascii="宋体" w:hAnsi="宋体"/>
          <w:b/>
          <w:szCs w:val="24"/>
        </w:rPr>
      </w:pPr>
      <w:r>
        <w:rPr>
          <w:rFonts w:ascii="宋体" w:hAnsi="宋体"/>
          <w:b/>
          <w:szCs w:val="24"/>
        </w:rPr>
        <w:t>6</w:t>
      </w:r>
      <w:r>
        <w:rPr>
          <w:rFonts w:hint="eastAsia" w:ascii="宋体" w:hAnsi="宋体"/>
          <w:b/>
          <w:szCs w:val="24"/>
        </w:rPr>
        <w:t>．投标费用</w:t>
      </w:r>
      <w:r>
        <w:rPr>
          <w:rFonts w:ascii="宋体" w:hAnsi="宋体"/>
          <w:b/>
          <w:szCs w:val="24"/>
        </w:rPr>
        <w:t xml:space="preserve"> </w:t>
      </w:r>
    </w:p>
    <w:p w14:paraId="3489B522">
      <w:pPr>
        <w:pStyle w:val="44"/>
        <w:spacing w:after="0" w:line="400" w:lineRule="exact"/>
        <w:ind w:left="0" w:leftChars="0"/>
        <w:rPr>
          <w:rFonts w:ascii="宋体" w:hAnsi="宋体"/>
          <w:sz w:val="24"/>
          <w:szCs w:val="24"/>
        </w:rPr>
      </w:pPr>
      <w:r>
        <w:rPr>
          <w:rFonts w:ascii="宋体" w:hAnsi="宋体"/>
          <w:sz w:val="24"/>
          <w:szCs w:val="24"/>
        </w:rPr>
        <w:t>6.1</w:t>
      </w:r>
      <w:r>
        <w:rPr>
          <w:rFonts w:hint="eastAsia" w:ascii="宋体" w:hAnsi="宋体"/>
          <w:sz w:val="24"/>
          <w:szCs w:val="24"/>
        </w:rPr>
        <w:t>无论投标过程中的做法和结果如何，投标人自行承担所有与参加投标有关的全部费用。</w:t>
      </w:r>
    </w:p>
    <w:p w14:paraId="12AF61D3">
      <w:pPr>
        <w:pStyle w:val="44"/>
        <w:spacing w:after="0" w:line="400" w:lineRule="exact"/>
        <w:ind w:left="0" w:leftChars="0"/>
        <w:rPr>
          <w:rFonts w:ascii="宋体" w:hAnsi="宋体"/>
          <w:sz w:val="24"/>
          <w:szCs w:val="24"/>
        </w:rPr>
      </w:pPr>
      <w:r>
        <w:rPr>
          <w:rFonts w:hint="eastAsia" w:ascii="宋体" w:hAnsi="宋体"/>
          <w:sz w:val="24"/>
          <w:szCs w:val="24"/>
        </w:rPr>
        <w:t>6.2中标单位报价时考虑中标服务费。</w:t>
      </w:r>
    </w:p>
    <w:p w14:paraId="73CACEAB">
      <w:pPr>
        <w:spacing w:line="400" w:lineRule="exact"/>
        <w:rPr>
          <w:rFonts w:ascii="宋体" w:hAnsi="宋体"/>
          <w:szCs w:val="24"/>
        </w:rPr>
      </w:pPr>
      <w:r>
        <w:rPr>
          <w:rFonts w:ascii="宋体" w:hAnsi="宋体"/>
          <w:b/>
          <w:szCs w:val="24"/>
        </w:rPr>
        <w:t>7</w:t>
      </w:r>
      <w:r>
        <w:rPr>
          <w:rFonts w:hint="eastAsia" w:ascii="宋体" w:hAnsi="宋体"/>
          <w:b/>
          <w:szCs w:val="24"/>
        </w:rPr>
        <w:t>．联合投标</w:t>
      </w:r>
    </w:p>
    <w:p w14:paraId="5E3F00F2">
      <w:pPr>
        <w:pStyle w:val="44"/>
        <w:spacing w:after="0" w:line="400" w:lineRule="exact"/>
        <w:ind w:left="360" w:leftChars="150"/>
        <w:rPr>
          <w:rFonts w:ascii="宋体" w:hAnsi="宋体"/>
          <w:sz w:val="24"/>
          <w:szCs w:val="24"/>
        </w:rPr>
      </w:pPr>
      <w:r>
        <w:rPr>
          <w:rFonts w:hint="eastAsia" w:ascii="宋体" w:hAnsi="宋体"/>
          <w:sz w:val="24"/>
          <w:szCs w:val="24"/>
        </w:rPr>
        <w:t>本次招标不接受联合投标。</w:t>
      </w:r>
    </w:p>
    <w:p w14:paraId="55B40B92">
      <w:pPr>
        <w:spacing w:line="400" w:lineRule="exact"/>
        <w:outlineLvl w:val="0"/>
        <w:rPr>
          <w:rFonts w:ascii="宋体" w:hAnsi="宋体"/>
          <w:b/>
          <w:szCs w:val="24"/>
        </w:rPr>
      </w:pPr>
      <w:r>
        <w:rPr>
          <w:rFonts w:hint="eastAsia" w:ascii="宋体" w:hAnsi="宋体"/>
          <w:b/>
          <w:szCs w:val="24"/>
        </w:rPr>
        <w:t>三、招标文件的说明</w:t>
      </w:r>
    </w:p>
    <w:p w14:paraId="40C52E90">
      <w:pPr>
        <w:spacing w:line="400" w:lineRule="exact"/>
        <w:outlineLvl w:val="0"/>
        <w:rPr>
          <w:rFonts w:ascii="宋体" w:hAnsi="宋体"/>
          <w:b/>
          <w:szCs w:val="24"/>
        </w:rPr>
      </w:pPr>
      <w:r>
        <w:rPr>
          <w:rFonts w:ascii="宋体" w:hAnsi="宋体"/>
          <w:b/>
          <w:szCs w:val="24"/>
        </w:rPr>
        <w:t>8</w:t>
      </w:r>
      <w:r>
        <w:rPr>
          <w:rFonts w:hint="eastAsia" w:ascii="宋体" w:hAnsi="宋体"/>
          <w:b/>
          <w:szCs w:val="24"/>
        </w:rPr>
        <w:t>．招标文件</w:t>
      </w:r>
    </w:p>
    <w:p w14:paraId="04F208CB">
      <w:pPr>
        <w:pStyle w:val="44"/>
        <w:spacing w:after="0" w:line="400" w:lineRule="exact"/>
        <w:ind w:left="0" w:leftChars="0" w:firstLine="480" w:firstLineChars="200"/>
        <w:rPr>
          <w:rFonts w:ascii="宋体" w:hAnsi="宋体"/>
          <w:sz w:val="24"/>
          <w:szCs w:val="24"/>
        </w:rPr>
      </w:pPr>
      <w:r>
        <w:rPr>
          <w:rFonts w:hint="eastAsia" w:ascii="宋体" w:hAnsi="宋体"/>
          <w:sz w:val="24"/>
          <w:szCs w:val="24"/>
        </w:rPr>
        <w:t>招标文件由招标文件总目录所列内容组成。投标人应详细阅读招标文件的全部内容。不按招标文件的要求提供的投标文件和资料，可能导致投标被拒绝。</w:t>
      </w:r>
    </w:p>
    <w:p w14:paraId="5EF5661F">
      <w:pPr>
        <w:spacing w:line="400" w:lineRule="exact"/>
        <w:outlineLvl w:val="0"/>
        <w:rPr>
          <w:rFonts w:ascii="宋体" w:hAnsi="宋体"/>
          <w:b/>
          <w:szCs w:val="24"/>
        </w:rPr>
      </w:pPr>
      <w:r>
        <w:rPr>
          <w:rFonts w:ascii="宋体" w:hAnsi="宋体"/>
          <w:b/>
          <w:szCs w:val="24"/>
        </w:rPr>
        <w:t>9</w:t>
      </w:r>
      <w:r>
        <w:rPr>
          <w:rFonts w:hint="eastAsia" w:ascii="宋体" w:hAnsi="宋体"/>
          <w:b/>
          <w:szCs w:val="24"/>
        </w:rPr>
        <w:t>．招标文件的澄清</w:t>
      </w:r>
    </w:p>
    <w:p w14:paraId="570F9BBB">
      <w:pPr>
        <w:pStyle w:val="44"/>
        <w:spacing w:after="0" w:line="400" w:lineRule="exact"/>
        <w:ind w:left="0" w:leftChars="0"/>
        <w:rPr>
          <w:rFonts w:ascii="宋体" w:hAnsi="宋体"/>
          <w:sz w:val="24"/>
          <w:szCs w:val="24"/>
        </w:rPr>
      </w:pPr>
      <w:r>
        <w:rPr>
          <w:rFonts w:ascii="宋体" w:hAnsi="宋体"/>
          <w:sz w:val="24"/>
          <w:szCs w:val="24"/>
        </w:rPr>
        <w:t xml:space="preserve">9.1 </w:t>
      </w:r>
      <w:r>
        <w:rPr>
          <w:rFonts w:hint="eastAsia" w:ascii="宋体" w:hAnsi="宋体"/>
          <w:sz w:val="24"/>
          <w:szCs w:val="24"/>
        </w:rPr>
        <w:t>招标文件由招标文件目录所列内容组成，投标人购买招标文件后，应仔细检查招标文件的所有内容，如有残缺等问题应在购买招标文件</w:t>
      </w:r>
      <w:r>
        <w:rPr>
          <w:rFonts w:ascii="宋体" w:hAnsi="宋体"/>
          <w:sz w:val="24"/>
          <w:szCs w:val="24"/>
        </w:rPr>
        <w:t>3</w:t>
      </w:r>
      <w:r>
        <w:rPr>
          <w:rFonts w:hint="eastAsia" w:ascii="宋体" w:hAnsi="宋体"/>
          <w:sz w:val="24"/>
          <w:szCs w:val="24"/>
        </w:rPr>
        <w:t>日内向招标采购单位提出，否则，由此产生的影响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1DB3332F">
      <w:pPr>
        <w:pStyle w:val="44"/>
        <w:spacing w:after="0" w:line="400" w:lineRule="exact"/>
        <w:ind w:left="0" w:leftChars="0"/>
        <w:rPr>
          <w:rFonts w:ascii="宋体" w:hAnsi="宋体"/>
          <w:sz w:val="24"/>
          <w:szCs w:val="24"/>
        </w:rPr>
      </w:pPr>
      <w:r>
        <w:rPr>
          <w:rFonts w:ascii="宋体" w:hAnsi="宋体"/>
          <w:sz w:val="24"/>
          <w:szCs w:val="24"/>
        </w:rPr>
        <w:t xml:space="preserve">9.2 </w:t>
      </w:r>
      <w:r>
        <w:rPr>
          <w:rFonts w:hint="eastAsia" w:ascii="宋体" w:hAnsi="宋体"/>
          <w:sz w:val="24"/>
          <w:szCs w:val="24"/>
        </w:rPr>
        <w:t>招标文件及其更正文件不是直接从采购代理机构处购买获得的，招标采购单位对招标文件及其补遗的真实性、完整性不承担任何责任。</w:t>
      </w:r>
    </w:p>
    <w:p w14:paraId="220CF63E">
      <w:pPr>
        <w:widowControl w:val="0"/>
        <w:spacing w:line="400" w:lineRule="exact"/>
        <w:jc w:val="both"/>
        <w:rPr>
          <w:rFonts w:ascii="宋体" w:hAnsi="宋体"/>
          <w:b/>
          <w:szCs w:val="24"/>
        </w:rPr>
      </w:pPr>
      <w:r>
        <w:rPr>
          <w:rFonts w:hint="eastAsia" w:ascii="宋体" w:hAnsi="宋体"/>
          <w:b/>
          <w:szCs w:val="24"/>
        </w:rPr>
        <w:t>10．现场考察</w:t>
      </w:r>
      <w:r>
        <w:rPr>
          <w:rFonts w:ascii="宋体" w:hAnsi="宋体"/>
          <w:b/>
          <w:szCs w:val="24"/>
        </w:rPr>
        <w:t xml:space="preserve"> </w:t>
      </w:r>
    </w:p>
    <w:p w14:paraId="1537FBED">
      <w:pPr>
        <w:widowControl w:val="0"/>
        <w:spacing w:line="400" w:lineRule="exact"/>
        <w:jc w:val="both"/>
        <w:rPr>
          <w:rFonts w:ascii="宋体" w:hAnsi="宋体"/>
          <w:szCs w:val="24"/>
        </w:rPr>
      </w:pPr>
      <w:r>
        <w:rPr>
          <w:rFonts w:ascii="宋体" w:hAnsi="宋体"/>
          <w:szCs w:val="24"/>
        </w:rPr>
        <w:t>10.1</w:t>
      </w:r>
      <w:r>
        <w:rPr>
          <w:rFonts w:hint="eastAsia" w:ascii="宋体" w:hAnsi="宋体"/>
          <w:szCs w:val="24"/>
        </w:rPr>
        <w:t>投标人应按招标文件中所述时间对有关现场和周围环境进行考察，以获取编制投标文件和签署合同所需的信息。考察现场所发生的费用由投标人自己承担。</w:t>
      </w:r>
    </w:p>
    <w:p w14:paraId="5E0EC192">
      <w:pPr>
        <w:widowControl w:val="0"/>
        <w:spacing w:line="400" w:lineRule="exact"/>
        <w:jc w:val="both"/>
        <w:rPr>
          <w:rFonts w:ascii="宋体" w:hAnsi="宋体"/>
          <w:szCs w:val="24"/>
        </w:rPr>
      </w:pPr>
      <w:r>
        <w:rPr>
          <w:rFonts w:ascii="宋体" w:hAnsi="宋体"/>
          <w:szCs w:val="24"/>
        </w:rPr>
        <w:t>10.2</w:t>
      </w:r>
      <w:r>
        <w:rPr>
          <w:rFonts w:hint="eastAsia" w:ascii="宋体" w:hAnsi="宋体"/>
          <w:szCs w:val="24"/>
        </w:rPr>
        <w:t>招标采购单位向投标人提供的有关现场的资料和数据，是招标采购单位现有的并认为能使投标人可利用的资料。招标采购单位对投标人由此而做出的推论、理解和结论概不负责。</w:t>
      </w:r>
    </w:p>
    <w:p w14:paraId="29807184">
      <w:pPr>
        <w:widowControl w:val="0"/>
        <w:spacing w:line="400" w:lineRule="exact"/>
        <w:jc w:val="both"/>
        <w:rPr>
          <w:rFonts w:ascii="宋体" w:hAnsi="宋体"/>
          <w:szCs w:val="24"/>
        </w:rPr>
      </w:pPr>
      <w:r>
        <w:rPr>
          <w:rFonts w:ascii="宋体" w:hAnsi="宋体"/>
          <w:szCs w:val="24"/>
        </w:rPr>
        <w:t>10.3</w:t>
      </w:r>
      <w:r>
        <w:rPr>
          <w:rFonts w:hint="eastAsia" w:ascii="宋体" w:hAnsi="宋体"/>
          <w:szCs w:val="24"/>
        </w:rPr>
        <w:t>经招标采购单位允许，投标人可为考察目的进入招标采购单位的项目现场，但投标人不得因此使招标采购单位承担有关的责任和蒙受损失。投标人应承担考察现场的责任和风险。</w:t>
      </w:r>
    </w:p>
    <w:p w14:paraId="633CC1EA">
      <w:pPr>
        <w:pStyle w:val="44"/>
        <w:spacing w:after="0" w:line="400" w:lineRule="exact"/>
        <w:ind w:left="0" w:leftChars="0"/>
        <w:rPr>
          <w:rFonts w:ascii="宋体" w:hAnsi="宋体"/>
          <w:sz w:val="24"/>
          <w:szCs w:val="24"/>
        </w:rPr>
      </w:pPr>
      <w:r>
        <w:rPr>
          <w:rFonts w:ascii="宋体" w:hAnsi="宋体"/>
          <w:sz w:val="24"/>
          <w:szCs w:val="24"/>
        </w:rPr>
        <w:t>10.4</w:t>
      </w:r>
      <w:r>
        <w:rPr>
          <w:rFonts w:hint="eastAsia" w:ascii="宋体" w:hAnsi="宋体"/>
          <w:sz w:val="24"/>
          <w:szCs w:val="24"/>
        </w:rPr>
        <w:t>投标人应在现场考察时，熟悉现场及周围交通道路等情况，以获得一切可能影响其投标的直接资料。投标人中标后，不得以不完全了解现场情况为理由而向招标采购单位提出任何索赔的要求，对此招标采购单位不承担任何责任并将不作任何答复与考虑。</w:t>
      </w:r>
    </w:p>
    <w:p w14:paraId="765C7958">
      <w:pPr>
        <w:spacing w:line="400" w:lineRule="exact"/>
        <w:outlineLvl w:val="0"/>
        <w:rPr>
          <w:rFonts w:ascii="宋体" w:hAnsi="宋体"/>
          <w:b/>
          <w:szCs w:val="24"/>
        </w:rPr>
      </w:pPr>
      <w:r>
        <w:rPr>
          <w:rFonts w:ascii="宋体" w:hAnsi="宋体"/>
          <w:b/>
          <w:szCs w:val="24"/>
        </w:rPr>
        <w:t>11</w:t>
      </w:r>
      <w:r>
        <w:rPr>
          <w:rFonts w:hint="eastAsia" w:ascii="宋体" w:hAnsi="宋体"/>
          <w:b/>
          <w:szCs w:val="24"/>
        </w:rPr>
        <w:t>．招标文件的修改</w:t>
      </w:r>
    </w:p>
    <w:p w14:paraId="122127AC">
      <w:pPr>
        <w:spacing w:line="400" w:lineRule="exact"/>
        <w:outlineLvl w:val="0"/>
        <w:rPr>
          <w:rFonts w:ascii="宋体" w:hAnsi="宋体"/>
          <w:szCs w:val="24"/>
        </w:rPr>
      </w:pPr>
      <w:r>
        <w:rPr>
          <w:rFonts w:ascii="宋体" w:hAnsi="宋体"/>
          <w:szCs w:val="24"/>
        </w:rPr>
        <w:t>11.1</w:t>
      </w:r>
      <w:r>
        <w:rPr>
          <w:rFonts w:hint="eastAsia" w:ascii="宋体" w:hAnsi="宋体"/>
          <w:szCs w:val="24"/>
        </w:rPr>
        <w:t>投标人在购买招标文件后，若有问题需要询问和澄清，应按前附表规定的时间提出，澄清和提疑须以书面形式向采购代理机构提出，采购代理机构将以书面形式或投标答疑会的方式予以解答（包括对询问的解释，但不说明来源），答复将送给所有招标文件的收受人。</w:t>
      </w:r>
    </w:p>
    <w:p w14:paraId="67E9526A">
      <w:pPr>
        <w:spacing w:line="400" w:lineRule="exact"/>
        <w:outlineLvl w:val="0"/>
        <w:rPr>
          <w:rFonts w:ascii="宋体" w:hAnsi="宋体"/>
          <w:szCs w:val="24"/>
        </w:rPr>
      </w:pPr>
      <w:r>
        <w:rPr>
          <w:rFonts w:ascii="宋体" w:hAnsi="宋体"/>
          <w:szCs w:val="24"/>
        </w:rPr>
        <w:t>11.2</w:t>
      </w:r>
      <w:r>
        <w:rPr>
          <w:rFonts w:hint="eastAsia" w:ascii="宋体" w:hAnsi="宋体"/>
          <w:szCs w:val="24"/>
        </w:rPr>
        <w:t>如需召开投标答疑会的，招标采购单位将按前附表规定的时间、地点召开招标答疑会。</w:t>
      </w:r>
    </w:p>
    <w:p w14:paraId="56B88C74">
      <w:pPr>
        <w:spacing w:line="400" w:lineRule="exact"/>
        <w:outlineLvl w:val="0"/>
        <w:rPr>
          <w:rFonts w:ascii="宋体" w:hAnsi="宋体"/>
          <w:szCs w:val="24"/>
        </w:rPr>
      </w:pPr>
      <w:r>
        <w:rPr>
          <w:rFonts w:ascii="宋体" w:hAnsi="宋体"/>
          <w:szCs w:val="24"/>
        </w:rPr>
        <w:t>11.3</w:t>
      </w:r>
      <w:r>
        <w:rPr>
          <w:rFonts w:hint="eastAsia" w:ascii="宋体" w:hAnsi="宋体"/>
          <w:szCs w:val="24"/>
        </w:rPr>
        <w:t>迟于前附表规定时间的询问和提交的疑问，采购人和采购代理机构有权拒绝回答，也不承担由此带来的对投标人投标结果的影响。</w:t>
      </w:r>
    </w:p>
    <w:p w14:paraId="44EAF831">
      <w:pPr>
        <w:spacing w:line="400" w:lineRule="exact"/>
        <w:outlineLvl w:val="0"/>
        <w:rPr>
          <w:rFonts w:ascii="宋体" w:hAnsi="宋体"/>
          <w:szCs w:val="24"/>
        </w:rPr>
      </w:pPr>
      <w:r>
        <w:rPr>
          <w:rFonts w:ascii="宋体" w:hAnsi="宋体"/>
          <w:szCs w:val="24"/>
        </w:rPr>
        <w:t>11.4</w:t>
      </w:r>
      <w:r>
        <w:rPr>
          <w:rFonts w:hint="eastAsia" w:ascii="宋体" w:hAnsi="宋体"/>
          <w:szCs w:val="24"/>
        </w:rPr>
        <w:t>在投标截止时间</w:t>
      </w:r>
      <w:r>
        <w:rPr>
          <w:rFonts w:ascii="宋体" w:hAnsi="宋体"/>
          <w:szCs w:val="24"/>
        </w:rPr>
        <w:t>15</w:t>
      </w:r>
      <w:r>
        <w:rPr>
          <w:rFonts w:hint="eastAsia" w:ascii="宋体" w:hAnsi="宋体"/>
          <w:szCs w:val="24"/>
        </w:rPr>
        <w:t>日前，招标采购单位无论出于自己的考虑，还是出于对投标人提问的澄清，均可对已发出的招标文件进行必要澄清或者修改。</w:t>
      </w:r>
    </w:p>
    <w:p w14:paraId="16FE7840">
      <w:pPr>
        <w:spacing w:line="400" w:lineRule="exact"/>
        <w:outlineLvl w:val="0"/>
        <w:rPr>
          <w:rFonts w:ascii="宋体" w:hAnsi="宋体"/>
          <w:szCs w:val="24"/>
        </w:rPr>
      </w:pPr>
      <w:r>
        <w:rPr>
          <w:rFonts w:ascii="宋体" w:hAnsi="宋体"/>
          <w:szCs w:val="24"/>
        </w:rPr>
        <w:t>11.5</w:t>
      </w:r>
      <w:r>
        <w:rPr>
          <w:rFonts w:hint="eastAsia" w:ascii="宋体" w:hAnsi="宋体"/>
          <w:szCs w:val="24"/>
        </w:rPr>
        <w:t>为使投标人有足够的时间按招标文件的修改要求考虑修正投标文件，或出于其他原因，招标采购单位有权推迟投标截止日期和开标日期，将此变更通知所有招标文件的收受人。</w:t>
      </w:r>
    </w:p>
    <w:p w14:paraId="16FD99C8">
      <w:pPr>
        <w:spacing w:line="400" w:lineRule="exact"/>
        <w:outlineLvl w:val="0"/>
        <w:rPr>
          <w:rFonts w:ascii="宋体" w:hAnsi="宋体"/>
          <w:szCs w:val="24"/>
        </w:rPr>
      </w:pPr>
      <w:r>
        <w:rPr>
          <w:rFonts w:ascii="宋体" w:hAnsi="宋体"/>
          <w:szCs w:val="24"/>
        </w:rPr>
        <w:t>11.6</w:t>
      </w:r>
      <w:r>
        <w:rPr>
          <w:rFonts w:hint="eastAsia" w:ascii="宋体" w:hAnsi="宋体"/>
          <w:szCs w:val="24"/>
        </w:rPr>
        <w:t>招标文件的更正（含澄清、修改等）内容与原招标文件在同一内容上表述不一致时，以发出日期最接近开标时间的公告为准。</w:t>
      </w:r>
    </w:p>
    <w:p w14:paraId="4FE0857A">
      <w:pPr>
        <w:spacing w:line="400" w:lineRule="exact"/>
        <w:outlineLvl w:val="0"/>
        <w:rPr>
          <w:rFonts w:ascii="宋体" w:hAnsi="宋体"/>
          <w:szCs w:val="24"/>
        </w:rPr>
      </w:pPr>
      <w:r>
        <w:rPr>
          <w:rFonts w:ascii="宋体" w:hAnsi="宋体"/>
          <w:szCs w:val="24"/>
        </w:rPr>
        <w:t>11.7</w:t>
      </w:r>
      <w:r>
        <w:rPr>
          <w:rFonts w:hint="eastAsia" w:ascii="宋体" w:hAnsi="宋体"/>
          <w:szCs w:val="24"/>
        </w:rPr>
        <w:t>招标文件的更正（含澄清、修改等）内容将在发布媒体上发布，作为招标文件的组成部分，对投标人起约束作用。</w:t>
      </w:r>
    </w:p>
    <w:p w14:paraId="445C7E19">
      <w:pPr>
        <w:spacing w:line="400" w:lineRule="exact"/>
        <w:outlineLvl w:val="0"/>
        <w:rPr>
          <w:rFonts w:ascii="宋体" w:hAnsi="宋体"/>
          <w:b/>
          <w:szCs w:val="24"/>
        </w:rPr>
      </w:pPr>
      <w:r>
        <w:rPr>
          <w:rFonts w:hint="eastAsia" w:ascii="宋体" w:hAnsi="宋体"/>
          <w:b/>
          <w:szCs w:val="24"/>
        </w:rPr>
        <w:t>四、投标文件说明</w:t>
      </w:r>
    </w:p>
    <w:p w14:paraId="72FB0761">
      <w:pPr>
        <w:snapToGrid w:val="0"/>
        <w:spacing w:line="400" w:lineRule="exact"/>
        <w:ind w:left="459" w:hanging="459"/>
        <w:rPr>
          <w:rFonts w:ascii="宋体" w:hAnsi="宋体"/>
          <w:b/>
          <w:szCs w:val="24"/>
        </w:rPr>
      </w:pPr>
      <w:r>
        <w:rPr>
          <w:rFonts w:ascii="宋体" w:hAnsi="宋体"/>
          <w:b/>
          <w:szCs w:val="24"/>
        </w:rPr>
        <w:t>12</w:t>
      </w:r>
      <w:r>
        <w:rPr>
          <w:rFonts w:hint="eastAsia" w:ascii="宋体" w:hAnsi="宋体"/>
          <w:b/>
          <w:szCs w:val="24"/>
        </w:rPr>
        <w:t>．提示与要求</w:t>
      </w:r>
    </w:p>
    <w:p w14:paraId="48CBEBF9">
      <w:pPr>
        <w:pStyle w:val="44"/>
        <w:spacing w:after="0" w:line="400" w:lineRule="exact"/>
        <w:ind w:left="0" w:leftChars="0"/>
        <w:rPr>
          <w:rFonts w:ascii="宋体" w:hAnsi="宋体"/>
          <w:sz w:val="24"/>
          <w:szCs w:val="24"/>
        </w:rPr>
      </w:pPr>
      <w:r>
        <w:rPr>
          <w:rFonts w:ascii="宋体" w:hAnsi="宋体"/>
          <w:sz w:val="24"/>
          <w:szCs w:val="24"/>
        </w:rPr>
        <w:t>12.1</w:t>
      </w:r>
      <w:r>
        <w:rPr>
          <w:rFonts w:hint="eastAsia" w:ascii="宋体" w:hAnsi="宋体"/>
          <w:sz w:val="24"/>
          <w:szCs w:val="24"/>
        </w:rPr>
        <w:t>投标人应仔细阅读招标文件的所有内容，按招标文件的要求提供投标文件，并保证所提供的全部资料的真实性，以使其投标对招标文件做出实质性响应，否则，其投标可能被拒绝。</w:t>
      </w:r>
    </w:p>
    <w:p w14:paraId="3A33D853">
      <w:pPr>
        <w:pStyle w:val="44"/>
        <w:spacing w:after="0" w:line="400" w:lineRule="exact"/>
        <w:ind w:left="0" w:leftChars="0"/>
        <w:rPr>
          <w:rFonts w:ascii="宋体" w:hAnsi="宋体"/>
          <w:sz w:val="24"/>
          <w:szCs w:val="24"/>
        </w:rPr>
      </w:pPr>
      <w:r>
        <w:rPr>
          <w:rFonts w:ascii="宋体" w:hAnsi="宋体"/>
          <w:sz w:val="24"/>
          <w:szCs w:val="24"/>
        </w:rPr>
        <w:t>12.2</w:t>
      </w:r>
      <w:r>
        <w:rPr>
          <w:rFonts w:hint="eastAsia" w:ascii="宋体" w:hAnsi="宋体"/>
          <w:sz w:val="24"/>
          <w:szCs w:val="24"/>
        </w:rPr>
        <w:t>无论是否递交投标文件，投标人都应将招标文件及以后的所有通知、文件等视为保密文件。</w:t>
      </w:r>
    </w:p>
    <w:p w14:paraId="1FF471F6">
      <w:pPr>
        <w:spacing w:line="400" w:lineRule="exact"/>
        <w:outlineLvl w:val="0"/>
        <w:rPr>
          <w:rFonts w:ascii="宋体" w:hAnsi="宋体"/>
          <w:b/>
          <w:szCs w:val="24"/>
        </w:rPr>
      </w:pPr>
      <w:r>
        <w:rPr>
          <w:rFonts w:ascii="宋体" w:hAnsi="宋体"/>
          <w:b/>
          <w:szCs w:val="24"/>
        </w:rPr>
        <w:t>13</w:t>
      </w:r>
      <w:r>
        <w:rPr>
          <w:rFonts w:hint="eastAsia" w:ascii="宋体" w:hAnsi="宋体"/>
          <w:b/>
          <w:szCs w:val="24"/>
        </w:rPr>
        <w:t>．投标文件计量单位和使用文字</w:t>
      </w:r>
    </w:p>
    <w:p w14:paraId="02646EE3">
      <w:pPr>
        <w:pStyle w:val="44"/>
        <w:spacing w:after="0" w:line="400" w:lineRule="exact"/>
        <w:ind w:left="0" w:leftChars="0"/>
        <w:rPr>
          <w:rFonts w:ascii="宋体" w:hAnsi="宋体"/>
          <w:sz w:val="24"/>
          <w:szCs w:val="24"/>
        </w:rPr>
      </w:pPr>
      <w:r>
        <w:rPr>
          <w:rFonts w:ascii="宋体" w:hAnsi="宋体"/>
          <w:sz w:val="24"/>
          <w:szCs w:val="24"/>
        </w:rPr>
        <w:t>13.1</w:t>
      </w:r>
      <w:r>
        <w:rPr>
          <w:rFonts w:hint="eastAsia" w:ascii="宋体" w:hAnsi="宋体"/>
          <w:sz w:val="24"/>
          <w:szCs w:val="24"/>
        </w:rPr>
        <w:t>投标文件中所使用的计量单位，除招标文件中有特殊要求外，均应使用中华人民共和国法定计量单位。</w:t>
      </w:r>
    </w:p>
    <w:p w14:paraId="54BD7825">
      <w:pPr>
        <w:pStyle w:val="44"/>
        <w:spacing w:after="0" w:line="400" w:lineRule="exact"/>
        <w:ind w:left="0" w:leftChars="0"/>
        <w:rPr>
          <w:rFonts w:ascii="宋体" w:hAnsi="宋体"/>
          <w:sz w:val="24"/>
          <w:szCs w:val="24"/>
        </w:rPr>
      </w:pPr>
      <w:r>
        <w:rPr>
          <w:rFonts w:ascii="宋体" w:hAnsi="宋体"/>
          <w:sz w:val="24"/>
          <w:szCs w:val="24"/>
        </w:rPr>
        <w:t>13.2</w:t>
      </w:r>
      <w:r>
        <w:rPr>
          <w:rFonts w:hint="eastAsia" w:ascii="宋体" w:hAnsi="宋体"/>
          <w:sz w:val="24"/>
          <w:szCs w:val="24"/>
        </w:rPr>
        <w:t>投标文件应使用中文编制，投标文件中需要使用其他文字的，必须附有相应的中文译本。对于未附有中文译本和中文译本不准确的投标文件可能引起的对投标人不利的后果，由相应投标人自行承担。</w:t>
      </w:r>
    </w:p>
    <w:p w14:paraId="24A55AA4">
      <w:pPr>
        <w:widowControl w:val="0"/>
        <w:spacing w:line="400" w:lineRule="exact"/>
        <w:jc w:val="both"/>
        <w:rPr>
          <w:rFonts w:ascii="宋体" w:hAnsi="宋体"/>
          <w:b/>
          <w:szCs w:val="24"/>
        </w:rPr>
      </w:pPr>
      <w:bookmarkStart w:id="1" w:name="_Toc217446047"/>
      <w:r>
        <w:rPr>
          <w:rFonts w:hint="eastAsia" w:ascii="宋体" w:hAnsi="宋体"/>
          <w:b/>
          <w:szCs w:val="24"/>
        </w:rPr>
        <w:t>1</w:t>
      </w:r>
      <w:r>
        <w:rPr>
          <w:rFonts w:ascii="宋体" w:hAnsi="宋体"/>
          <w:b/>
          <w:szCs w:val="24"/>
        </w:rPr>
        <w:t>4</w:t>
      </w:r>
      <w:r>
        <w:rPr>
          <w:rFonts w:hint="eastAsia" w:ascii="宋体" w:hAnsi="宋体"/>
          <w:b/>
          <w:szCs w:val="24"/>
        </w:rPr>
        <w:t>．知识产权</w:t>
      </w:r>
      <w:bookmarkEnd w:id="1"/>
    </w:p>
    <w:p w14:paraId="6D701E90">
      <w:pPr>
        <w:widowControl w:val="0"/>
        <w:spacing w:line="400" w:lineRule="exact"/>
        <w:jc w:val="both"/>
        <w:rPr>
          <w:rFonts w:ascii="宋体" w:hAnsi="宋体"/>
          <w:szCs w:val="24"/>
        </w:rPr>
      </w:pPr>
      <w:r>
        <w:rPr>
          <w:rFonts w:ascii="宋体" w:hAnsi="宋体"/>
          <w:szCs w:val="24"/>
        </w:rPr>
        <w:t>14.1</w:t>
      </w:r>
      <w:r>
        <w:rPr>
          <w:rFonts w:hint="eastAsia" w:ascii="宋体" w:hAnsi="宋体"/>
          <w:szCs w:val="24"/>
        </w:rPr>
        <w:t>投标人应保证在本项目使用的任何产品（包括部分使用）时，不会产生因第三方提出侵犯其专利权、商标权或其它知识产权而引起的法律和经济纠纷，如因专利权、商标权或其它知识产权而引起法律和经济纠纷，由投标人承担所有相关责任。</w:t>
      </w:r>
    </w:p>
    <w:p w14:paraId="7FED3C2C">
      <w:pPr>
        <w:pStyle w:val="44"/>
        <w:spacing w:after="0" w:line="400" w:lineRule="exact"/>
        <w:ind w:left="0" w:leftChars="0"/>
        <w:rPr>
          <w:rFonts w:ascii="宋体" w:hAnsi="宋体"/>
          <w:b/>
          <w:sz w:val="24"/>
          <w:szCs w:val="24"/>
        </w:rPr>
      </w:pPr>
      <w:r>
        <w:rPr>
          <w:rFonts w:ascii="宋体" w:hAnsi="宋体"/>
          <w:b/>
          <w:sz w:val="24"/>
          <w:szCs w:val="24"/>
        </w:rPr>
        <w:t>15</w:t>
      </w:r>
      <w:r>
        <w:rPr>
          <w:rFonts w:hint="eastAsia" w:ascii="宋体" w:hAnsi="宋体"/>
          <w:b/>
          <w:sz w:val="24"/>
          <w:szCs w:val="24"/>
        </w:rPr>
        <w:t>．投标文件的组成</w:t>
      </w:r>
    </w:p>
    <w:p w14:paraId="6300FAE8">
      <w:pPr>
        <w:pStyle w:val="44"/>
        <w:spacing w:after="0" w:line="400" w:lineRule="exact"/>
        <w:ind w:left="0" w:leftChars="0"/>
        <w:rPr>
          <w:rFonts w:ascii="宋体" w:hAnsi="宋体"/>
          <w:sz w:val="24"/>
          <w:szCs w:val="24"/>
        </w:rPr>
      </w:pPr>
      <w:r>
        <w:rPr>
          <w:rFonts w:ascii="宋体" w:hAnsi="宋体"/>
          <w:sz w:val="24"/>
          <w:szCs w:val="24"/>
        </w:rPr>
        <w:t>15.1</w:t>
      </w:r>
      <w:r>
        <w:rPr>
          <w:rFonts w:hint="eastAsia" w:ascii="宋体" w:hAnsi="宋体"/>
          <w:sz w:val="24"/>
          <w:szCs w:val="24"/>
        </w:rPr>
        <w:t>投标书一（报价部分）（详见投标文件格式）：</w:t>
      </w:r>
    </w:p>
    <w:p w14:paraId="68E7463E">
      <w:pPr>
        <w:pStyle w:val="44"/>
        <w:spacing w:after="0" w:line="400" w:lineRule="exact"/>
        <w:ind w:left="0" w:leftChars="0"/>
        <w:rPr>
          <w:rFonts w:ascii="宋体" w:hAnsi="宋体"/>
          <w:sz w:val="24"/>
          <w:szCs w:val="24"/>
        </w:rPr>
      </w:pPr>
      <w:r>
        <w:rPr>
          <w:rFonts w:ascii="宋体" w:hAnsi="宋体"/>
          <w:sz w:val="24"/>
          <w:szCs w:val="24"/>
        </w:rPr>
        <w:t>15.1.1</w:t>
      </w:r>
      <w:r>
        <w:rPr>
          <w:rFonts w:hint="eastAsia" w:ascii="宋体" w:hAnsi="宋体"/>
          <w:sz w:val="24"/>
          <w:szCs w:val="24"/>
        </w:rPr>
        <w:t>投标函；</w:t>
      </w:r>
    </w:p>
    <w:p w14:paraId="3C3EE734">
      <w:pPr>
        <w:pStyle w:val="44"/>
        <w:spacing w:after="0" w:line="400" w:lineRule="exact"/>
        <w:ind w:left="0" w:leftChars="0"/>
        <w:rPr>
          <w:rFonts w:ascii="宋体" w:hAnsi="宋体"/>
          <w:sz w:val="24"/>
          <w:szCs w:val="24"/>
        </w:rPr>
      </w:pPr>
      <w:r>
        <w:rPr>
          <w:rFonts w:ascii="宋体" w:hAnsi="宋体"/>
          <w:sz w:val="24"/>
          <w:szCs w:val="24"/>
        </w:rPr>
        <w:t>15.1.2</w:t>
      </w:r>
      <w:r>
        <w:rPr>
          <w:rFonts w:hint="eastAsia" w:ascii="宋体" w:hAnsi="宋体"/>
          <w:sz w:val="24"/>
          <w:szCs w:val="24"/>
        </w:rPr>
        <w:t>《开标一览表》；</w:t>
      </w:r>
    </w:p>
    <w:p w14:paraId="1B79A01F">
      <w:pPr>
        <w:pStyle w:val="44"/>
        <w:spacing w:after="0" w:line="400" w:lineRule="exact"/>
        <w:ind w:left="0" w:leftChars="0"/>
        <w:rPr>
          <w:rFonts w:ascii="宋体" w:hAnsi="宋体"/>
          <w:sz w:val="24"/>
          <w:szCs w:val="24"/>
        </w:rPr>
      </w:pPr>
      <w:r>
        <w:rPr>
          <w:rFonts w:ascii="宋体" w:hAnsi="宋体"/>
          <w:sz w:val="24"/>
          <w:szCs w:val="24"/>
        </w:rPr>
        <w:t>15.1.3</w:t>
      </w:r>
      <w:r>
        <w:rPr>
          <w:rFonts w:hint="eastAsia" w:ascii="宋体" w:hAnsi="宋体"/>
          <w:sz w:val="24"/>
          <w:szCs w:val="24"/>
        </w:rPr>
        <w:t>《分析报价明细表》。</w:t>
      </w:r>
      <w:r>
        <w:rPr>
          <w:rFonts w:ascii="宋体" w:hAnsi="宋体"/>
          <w:sz w:val="24"/>
          <w:szCs w:val="24"/>
        </w:rPr>
        <w:t xml:space="preserve"> </w:t>
      </w:r>
    </w:p>
    <w:p w14:paraId="17639B25">
      <w:pPr>
        <w:pStyle w:val="44"/>
        <w:spacing w:after="0" w:line="400" w:lineRule="exact"/>
        <w:ind w:left="0" w:leftChars="0"/>
        <w:rPr>
          <w:rFonts w:ascii="宋体" w:hAnsi="宋体"/>
          <w:sz w:val="24"/>
          <w:szCs w:val="24"/>
        </w:rPr>
      </w:pPr>
      <w:r>
        <w:rPr>
          <w:rFonts w:ascii="宋体" w:hAnsi="宋体"/>
          <w:sz w:val="24"/>
          <w:szCs w:val="24"/>
        </w:rPr>
        <w:t>15.2</w:t>
      </w:r>
      <w:r>
        <w:rPr>
          <w:rFonts w:hint="eastAsia" w:ascii="宋体" w:hAnsi="宋体"/>
          <w:sz w:val="24"/>
          <w:szCs w:val="24"/>
        </w:rPr>
        <w:t>投标书二（技术部分、资格证明文件）：</w:t>
      </w:r>
    </w:p>
    <w:p w14:paraId="3600238D">
      <w:pPr>
        <w:pStyle w:val="44"/>
        <w:spacing w:after="0" w:line="400" w:lineRule="exact"/>
        <w:ind w:left="0" w:leftChars="0"/>
        <w:rPr>
          <w:rFonts w:ascii="宋体" w:hAnsi="宋体"/>
          <w:sz w:val="24"/>
          <w:szCs w:val="24"/>
        </w:rPr>
      </w:pPr>
      <w:r>
        <w:rPr>
          <w:rFonts w:ascii="宋体" w:hAnsi="宋体"/>
          <w:sz w:val="24"/>
          <w:szCs w:val="24"/>
        </w:rPr>
        <w:t>15.2.1</w:t>
      </w:r>
      <w:r>
        <w:rPr>
          <w:rFonts w:hint="eastAsia" w:ascii="宋体" w:hAnsi="宋体"/>
          <w:sz w:val="24"/>
          <w:szCs w:val="24"/>
        </w:rPr>
        <w:t>关于资格文件的声明函（详见投标文件格式）；</w:t>
      </w:r>
    </w:p>
    <w:p w14:paraId="5790CA87">
      <w:pPr>
        <w:pStyle w:val="44"/>
        <w:spacing w:after="0" w:line="400" w:lineRule="exact"/>
        <w:ind w:left="0" w:leftChars="0"/>
        <w:rPr>
          <w:rFonts w:ascii="宋体" w:hAnsi="宋体"/>
          <w:sz w:val="24"/>
          <w:szCs w:val="24"/>
        </w:rPr>
      </w:pPr>
      <w:r>
        <w:rPr>
          <w:rFonts w:ascii="宋体" w:hAnsi="宋体"/>
          <w:sz w:val="24"/>
          <w:szCs w:val="24"/>
        </w:rPr>
        <w:t>15.2.2</w:t>
      </w:r>
      <w:r>
        <w:rPr>
          <w:rFonts w:hint="eastAsia" w:ascii="宋体" w:hAnsi="宋体"/>
          <w:sz w:val="24"/>
          <w:szCs w:val="24"/>
        </w:rPr>
        <w:t>投标人基本情况表（详见投标文件格式）；</w:t>
      </w:r>
    </w:p>
    <w:p w14:paraId="5EDAA29C">
      <w:pPr>
        <w:pStyle w:val="44"/>
        <w:spacing w:after="0" w:line="400" w:lineRule="exact"/>
        <w:ind w:left="0" w:leftChars="0"/>
        <w:rPr>
          <w:rFonts w:ascii="宋体" w:hAnsi="宋体"/>
          <w:sz w:val="24"/>
          <w:szCs w:val="24"/>
        </w:rPr>
      </w:pPr>
      <w:r>
        <w:rPr>
          <w:rFonts w:ascii="宋体" w:hAnsi="宋体"/>
          <w:sz w:val="24"/>
          <w:szCs w:val="24"/>
        </w:rPr>
        <w:t>15.2.3</w:t>
      </w:r>
      <w:r>
        <w:rPr>
          <w:rFonts w:hint="eastAsia" w:ascii="宋体" w:hAnsi="宋体"/>
          <w:sz w:val="24"/>
          <w:szCs w:val="24"/>
        </w:rPr>
        <w:t>投标人《营业执照》副本复印件；</w:t>
      </w:r>
    </w:p>
    <w:p w14:paraId="60EFFF32">
      <w:pPr>
        <w:pStyle w:val="44"/>
        <w:spacing w:after="0" w:line="400" w:lineRule="exact"/>
        <w:ind w:left="0" w:leftChars="0"/>
        <w:rPr>
          <w:rFonts w:ascii="宋体" w:hAnsi="宋体"/>
          <w:sz w:val="24"/>
          <w:szCs w:val="24"/>
        </w:rPr>
      </w:pPr>
      <w:r>
        <w:rPr>
          <w:rFonts w:ascii="宋体" w:hAnsi="宋体"/>
          <w:sz w:val="24"/>
          <w:szCs w:val="24"/>
        </w:rPr>
        <w:t>15.2.4</w:t>
      </w:r>
      <w:r>
        <w:rPr>
          <w:rFonts w:hint="eastAsia" w:ascii="宋体" w:hAnsi="宋体"/>
          <w:sz w:val="24"/>
          <w:szCs w:val="24"/>
        </w:rPr>
        <w:t>投标人法定代表人授权委托书原件（如有授权）（详见投标文件格式）；</w:t>
      </w:r>
    </w:p>
    <w:p w14:paraId="0B298605">
      <w:pPr>
        <w:pStyle w:val="44"/>
        <w:spacing w:after="0" w:line="400" w:lineRule="exact"/>
        <w:ind w:left="0" w:leftChars="0"/>
        <w:rPr>
          <w:rFonts w:ascii="宋体" w:hAnsi="宋体"/>
          <w:sz w:val="24"/>
          <w:szCs w:val="24"/>
        </w:rPr>
      </w:pPr>
      <w:r>
        <w:rPr>
          <w:rFonts w:ascii="宋体" w:hAnsi="宋体"/>
          <w:sz w:val="24"/>
          <w:szCs w:val="24"/>
        </w:rPr>
        <w:t>15.2.5</w:t>
      </w:r>
      <w:r>
        <w:rPr>
          <w:rFonts w:hint="eastAsia" w:ascii="宋体" w:hAnsi="宋体"/>
          <w:sz w:val="24"/>
          <w:szCs w:val="24"/>
        </w:rPr>
        <w:t>投标人法定代表人身份证复印件；</w:t>
      </w:r>
    </w:p>
    <w:p w14:paraId="3142E082">
      <w:pPr>
        <w:pStyle w:val="44"/>
        <w:spacing w:after="0" w:line="400" w:lineRule="exact"/>
        <w:ind w:left="0" w:leftChars="0"/>
        <w:rPr>
          <w:rFonts w:ascii="宋体" w:hAnsi="宋体"/>
          <w:sz w:val="24"/>
          <w:szCs w:val="24"/>
        </w:rPr>
      </w:pPr>
      <w:r>
        <w:rPr>
          <w:rFonts w:ascii="宋体" w:hAnsi="宋体"/>
          <w:sz w:val="24"/>
          <w:szCs w:val="24"/>
        </w:rPr>
        <w:t>15.2.6</w:t>
      </w:r>
      <w:r>
        <w:rPr>
          <w:rFonts w:hint="eastAsia" w:ascii="宋体" w:hAnsi="宋体"/>
          <w:sz w:val="24"/>
          <w:szCs w:val="24"/>
        </w:rPr>
        <w:t>投标人代理人身份证复印件（如有授权）；</w:t>
      </w:r>
    </w:p>
    <w:p w14:paraId="236C0F94">
      <w:pPr>
        <w:pStyle w:val="44"/>
        <w:spacing w:after="0" w:line="400" w:lineRule="exact"/>
        <w:ind w:left="0" w:leftChars="0"/>
        <w:rPr>
          <w:rFonts w:ascii="宋体" w:hAnsi="宋体"/>
          <w:sz w:val="24"/>
          <w:szCs w:val="24"/>
        </w:rPr>
      </w:pPr>
      <w:r>
        <w:rPr>
          <w:rFonts w:ascii="宋体" w:hAnsi="宋体"/>
          <w:sz w:val="24"/>
          <w:szCs w:val="24"/>
        </w:rPr>
        <w:t>15.2.7</w:t>
      </w:r>
      <w:r>
        <w:rPr>
          <w:rFonts w:hint="eastAsia" w:ascii="宋体" w:hAnsi="宋体"/>
          <w:sz w:val="24"/>
          <w:szCs w:val="24"/>
        </w:rPr>
        <w:t>投标人证明其符合招标文件规定的投标人特定资格条件的证书、证明和文件材料复印件；</w:t>
      </w:r>
    </w:p>
    <w:p w14:paraId="39998C93">
      <w:pPr>
        <w:pStyle w:val="44"/>
        <w:spacing w:after="0" w:line="400" w:lineRule="exact"/>
        <w:ind w:left="0" w:leftChars="0"/>
        <w:rPr>
          <w:rFonts w:ascii="宋体" w:hAnsi="宋体"/>
          <w:sz w:val="24"/>
          <w:szCs w:val="24"/>
        </w:rPr>
      </w:pPr>
      <w:r>
        <w:rPr>
          <w:rFonts w:ascii="宋体" w:hAnsi="宋体"/>
          <w:sz w:val="24"/>
          <w:szCs w:val="24"/>
        </w:rPr>
        <w:t>15.2.8</w:t>
      </w:r>
      <w:r>
        <w:rPr>
          <w:rFonts w:hint="eastAsia" w:ascii="宋体" w:hAnsi="宋体"/>
          <w:sz w:val="24"/>
          <w:szCs w:val="24"/>
        </w:rPr>
        <w:t>服务方案及针对本项目的服务小组的组成；</w:t>
      </w:r>
    </w:p>
    <w:p w14:paraId="5CBAB045">
      <w:pPr>
        <w:pStyle w:val="44"/>
        <w:spacing w:after="0" w:line="400" w:lineRule="exact"/>
        <w:ind w:left="0" w:leftChars="0"/>
        <w:rPr>
          <w:rFonts w:ascii="宋体" w:hAnsi="宋体"/>
          <w:sz w:val="24"/>
          <w:szCs w:val="24"/>
        </w:rPr>
      </w:pPr>
      <w:r>
        <w:rPr>
          <w:rFonts w:ascii="宋体" w:hAnsi="宋体"/>
          <w:sz w:val="24"/>
          <w:szCs w:val="24"/>
        </w:rPr>
        <w:t>15.2.9</w:t>
      </w:r>
      <w:r>
        <w:rPr>
          <w:rFonts w:hint="eastAsia" w:ascii="宋体" w:hAnsi="宋体"/>
          <w:sz w:val="24"/>
          <w:szCs w:val="24"/>
        </w:rPr>
        <w:t>主要服务人员及简历；</w:t>
      </w:r>
    </w:p>
    <w:p w14:paraId="430B1B28">
      <w:pPr>
        <w:pStyle w:val="44"/>
        <w:spacing w:after="0" w:line="400" w:lineRule="exact"/>
        <w:ind w:left="0" w:leftChars="0"/>
        <w:rPr>
          <w:rFonts w:ascii="宋体" w:hAnsi="宋体"/>
          <w:sz w:val="24"/>
          <w:szCs w:val="24"/>
        </w:rPr>
      </w:pPr>
      <w:r>
        <w:rPr>
          <w:rFonts w:ascii="宋体" w:hAnsi="宋体"/>
          <w:sz w:val="24"/>
          <w:szCs w:val="24"/>
        </w:rPr>
        <w:t>15.2.1</w:t>
      </w:r>
      <w:r>
        <w:rPr>
          <w:rFonts w:hint="eastAsia" w:ascii="宋体" w:hAnsi="宋体"/>
          <w:sz w:val="24"/>
          <w:szCs w:val="24"/>
        </w:rPr>
        <w:t>0其他可以证明投标人资信、资质和货物、服务质量的证书、文件、推荐信等资料（评分标准中涉及的相关证书）；</w:t>
      </w:r>
    </w:p>
    <w:p w14:paraId="4527DBA5">
      <w:pPr>
        <w:pStyle w:val="44"/>
        <w:spacing w:after="0" w:line="400" w:lineRule="exact"/>
        <w:ind w:left="0" w:leftChars="0"/>
        <w:rPr>
          <w:rFonts w:ascii="宋体" w:hAnsi="宋体"/>
          <w:sz w:val="24"/>
          <w:szCs w:val="24"/>
        </w:rPr>
      </w:pPr>
      <w:r>
        <w:rPr>
          <w:rFonts w:ascii="宋体" w:hAnsi="宋体"/>
          <w:sz w:val="24"/>
          <w:szCs w:val="24"/>
        </w:rPr>
        <w:t>15.2.1</w:t>
      </w:r>
      <w:r>
        <w:rPr>
          <w:rFonts w:hint="eastAsia" w:ascii="宋体" w:hAnsi="宋体"/>
          <w:sz w:val="24"/>
          <w:szCs w:val="24"/>
        </w:rPr>
        <w:t>1其他需投标人对本次投标的详细说明。</w:t>
      </w:r>
    </w:p>
    <w:p w14:paraId="24C7C9A2">
      <w:pPr>
        <w:pStyle w:val="44"/>
        <w:spacing w:after="0" w:line="400" w:lineRule="exact"/>
        <w:ind w:left="0" w:leftChars="0"/>
        <w:rPr>
          <w:rFonts w:ascii="宋体" w:hAns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）投标人必须提交上述</w:t>
      </w:r>
      <w:r>
        <w:rPr>
          <w:rFonts w:ascii="宋体" w:hAnsi="宋体"/>
          <w:sz w:val="24"/>
          <w:szCs w:val="24"/>
        </w:rPr>
        <w:t>15.1.1—15.2.10</w:t>
      </w:r>
      <w:r>
        <w:rPr>
          <w:rFonts w:hint="eastAsia" w:ascii="宋体" w:hAnsi="宋体"/>
          <w:sz w:val="24"/>
          <w:szCs w:val="24"/>
        </w:rPr>
        <w:t>款规定的资料。否则，投标文件将因资格性条件不符或未实质性响应招标文件而被拒绝；</w:t>
      </w:r>
      <w:r>
        <w:rPr>
          <w:rFonts w:ascii="宋体" w:hAnsi="宋体"/>
          <w:sz w:val="24"/>
          <w:szCs w:val="24"/>
        </w:rPr>
        <w:t xml:space="preserve"> </w:t>
      </w:r>
    </w:p>
    <w:p w14:paraId="0707D949">
      <w:pPr>
        <w:pStyle w:val="44"/>
        <w:spacing w:after="0" w:line="400" w:lineRule="exact"/>
        <w:ind w:left="0" w:leftChars="0"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）投标书二（技术部分、资格证明文件）中不得出现投标总报价。</w:t>
      </w:r>
    </w:p>
    <w:p w14:paraId="70FD723C">
      <w:pPr>
        <w:pStyle w:val="44"/>
        <w:spacing w:after="0" w:line="400" w:lineRule="exact"/>
        <w:ind w:left="0" w:leftChars="0"/>
        <w:rPr>
          <w:rFonts w:ascii="宋体" w:hAnsi="宋体"/>
          <w:sz w:val="24"/>
          <w:szCs w:val="24"/>
        </w:rPr>
      </w:pPr>
      <w:r>
        <w:rPr>
          <w:rFonts w:ascii="宋体" w:hAnsi="宋体"/>
          <w:sz w:val="24"/>
          <w:szCs w:val="24"/>
        </w:rPr>
        <w:t>16</w:t>
      </w:r>
      <w:r>
        <w:rPr>
          <w:rFonts w:hint="eastAsia" w:ascii="宋体" w:hAnsi="宋体"/>
          <w:sz w:val="24"/>
          <w:szCs w:val="24"/>
        </w:rPr>
        <w:t>．投标文件编制及签署要求</w:t>
      </w:r>
    </w:p>
    <w:p w14:paraId="6E0DB931">
      <w:pPr>
        <w:pStyle w:val="44"/>
        <w:spacing w:after="0" w:line="400" w:lineRule="exact"/>
        <w:ind w:left="0" w:leftChars="0"/>
        <w:rPr>
          <w:rFonts w:ascii="宋体" w:hAnsi="宋体"/>
          <w:sz w:val="24"/>
          <w:szCs w:val="24"/>
        </w:rPr>
      </w:pPr>
      <w:r>
        <w:rPr>
          <w:rFonts w:ascii="宋体" w:hAnsi="宋体"/>
          <w:sz w:val="24"/>
          <w:szCs w:val="24"/>
        </w:rPr>
        <w:t>16.1</w:t>
      </w:r>
      <w:r>
        <w:rPr>
          <w:rFonts w:hint="eastAsia" w:ascii="宋体" w:hAnsi="宋体"/>
          <w:sz w:val="24"/>
          <w:szCs w:val="24"/>
        </w:rPr>
        <w:t>投标文件按统一格式和顺序编写，投标书一（报价部分）、投标书二（技术部分、资格证明文件）应分别装订成册，投标人未分别装订成册的，代理单位将拒绝接收其投标文件。</w:t>
      </w:r>
    </w:p>
    <w:p w14:paraId="0AD5C444">
      <w:pPr>
        <w:pStyle w:val="44"/>
        <w:spacing w:after="0" w:line="400" w:lineRule="exact"/>
        <w:ind w:left="0" w:leftChars="0"/>
        <w:rPr>
          <w:rFonts w:ascii="宋体" w:hAnsi="宋体"/>
          <w:sz w:val="24"/>
          <w:szCs w:val="24"/>
        </w:rPr>
      </w:pPr>
      <w:r>
        <w:rPr>
          <w:rFonts w:ascii="宋体" w:hAnsi="宋体"/>
          <w:sz w:val="24"/>
          <w:szCs w:val="24"/>
        </w:rPr>
        <w:t>16.2</w:t>
      </w:r>
      <w:r>
        <w:rPr>
          <w:rFonts w:hint="eastAsia" w:ascii="宋体" w:hAnsi="宋体"/>
          <w:sz w:val="24"/>
          <w:szCs w:val="24"/>
        </w:rPr>
        <w:t>投标人递交的投标文件应包括投标书一（报价部分）、投标书二（技术部分、资格证明文件），同时又分为正本和副本。</w:t>
      </w:r>
    </w:p>
    <w:p w14:paraId="14CA8D30">
      <w:pPr>
        <w:pStyle w:val="44"/>
        <w:spacing w:after="0" w:line="400" w:lineRule="exact"/>
        <w:ind w:left="0" w:leftChars="0"/>
        <w:rPr>
          <w:rFonts w:ascii="宋体" w:hAnsi="宋体"/>
          <w:sz w:val="24"/>
          <w:szCs w:val="24"/>
        </w:rPr>
      </w:pPr>
      <w:r>
        <w:rPr>
          <w:rFonts w:ascii="宋体" w:hAnsi="宋体"/>
          <w:sz w:val="24"/>
          <w:szCs w:val="24"/>
        </w:rPr>
        <w:t>16.3</w:t>
      </w:r>
      <w:r>
        <w:rPr>
          <w:rFonts w:hint="eastAsia" w:ascii="宋体" w:hAnsi="宋体"/>
          <w:sz w:val="24"/>
          <w:szCs w:val="24"/>
        </w:rPr>
        <w:t>投标文件（投标书一、投标书二）正本和副本资料均应使用不能擦去的黑色或蓝色墨水打印或书写或复印，由投标人法定代表人或代理人按招标文件相应格式要求亲自签署或盖私章，并加盖单位公章，投标文件正本应放入上述须签署或盖章资料的原件，投标文件副本可以是投标文件正本的复印件，若未按上述要求签署的投标文件将被拒绝接收。</w:t>
      </w:r>
    </w:p>
    <w:p w14:paraId="601C5E9F">
      <w:pPr>
        <w:pStyle w:val="44"/>
        <w:spacing w:after="0" w:line="400" w:lineRule="exact"/>
        <w:ind w:left="0" w:leftChars="0"/>
        <w:rPr>
          <w:rFonts w:ascii="宋体" w:hAnsi="宋体"/>
          <w:sz w:val="24"/>
          <w:szCs w:val="24"/>
        </w:rPr>
      </w:pPr>
      <w:r>
        <w:rPr>
          <w:rFonts w:ascii="宋体" w:hAnsi="宋体"/>
          <w:sz w:val="24"/>
          <w:szCs w:val="24"/>
        </w:rPr>
        <w:t>16.4</w:t>
      </w:r>
      <w:r>
        <w:rPr>
          <w:rFonts w:hint="eastAsia" w:ascii="宋体" w:hAnsi="宋体"/>
          <w:sz w:val="24"/>
          <w:szCs w:val="24"/>
        </w:rPr>
        <w:t>完整的投标文件不应有其他版本，全套投标文件应无修改和行间插字。如有修改，须在修改处加盖投标单位公章及企业法定代表人或其委托代理人的私章或签字。</w:t>
      </w:r>
    </w:p>
    <w:p w14:paraId="4DE75AB1">
      <w:pPr>
        <w:pStyle w:val="44"/>
        <w:spacing w:after="0" w:line="400" w:lineRule="exact"/>
        <w:ind w:left="0" w:leftChars="0"/>
        <w:rPr>
          <w:rFonts w:ascii="宋体" w:hAnsi="宋体"/>
          <w:sz w:val="24"/>
          <w:szCs w:val="24"/>
        </w:rPr>
      </w:pPr>
      <w:r>
        <w:rPr>
          <w:rFonts w:ascii="宋体" w:hAnsi="宋体"/>
          <w:sz w:val="24"/>
          <w:szCs w:val="24"/>
        </w:rPr>
        <w:t>16.5</w:t>
      </w:r>
      <w:r>
        <w:rPr>
          <w:rFonts w:hint="eastAsia" w:ascii="宋体" w:hAnsi="宋体"/>
          <w:sz w:val="24"/>
          <w:szCs w:val="24"/>
        </w:rPr>
        <w:t>开标一览表为在开标仪式上唱标的内容，要求按格式填写，统一规范，不得自行增减内容。</w:t>
      </w:r>
    </w:p>
    <w:p w14:paraId="13BB0384">
      <w:pPr>
        <w:spacing w:line="400" w:lineRule="exact"/>
        <w:rPr>
          <w:rFonts w:ascii="宋体" w:hAnsi="宋体"/>
          <w:b/>
          <w:szCs w:val="24"/>
        </w:rPr>
      </w:pPr>
      <w:r>
        <w:rPr>
          <w:rFonts w:ascii="宋体" w:hAnsi="宋体"/>
          <w:b/>
          <w:szCs w:val="24"/>
        </w:rPr>
        <w:t>17.7</w:t>
      </w:r>
      <w:r>
        <w:rPr>
          <w:rFonts w:hint="eastAsia" w:ascii="宋体" w:hAnsi="宋体"/>
          <w:b/>
          <w:szCs w:val="24"/>
        </w:rPr>
        <w:t>投标报价（编制）要求的说明</w:t>
      </w:r>
    </w:p>
    <w:p w14:paraId="5B7C6113">
      <w:pPr>
        <w:pStyle w:val="44"/>
        <w:spacing w:after="0" w:line="400" w:lineRule="exact"/>
        <w:ind w:left="0" w:leftChars="0"/>
        <w:rPr>
          <w:rFonts w:ascii="宋体" w:hAnsi="宋体"/>
          <w:kern w:val="2"/>
          <w:sz w:val="24"/>
          <w:szCs w:val="24"/>
          <w:lang w:val="zh-CN"/>
        </w:rPr>
      </w:pPr>
      <w:r>
        <w:rPr>
          <w:rFonts w:ascii="宋体" w:hAnsi="宋体"/>
          <w:sz w:val="24"/>
          <w:szCs w:val="24"/>
        </w:rPr>
        <w:t>17.7.1</w:t>
      </w:r>
      <w:r>
        <w:rPr>
          <w:rFonts w:hint="eastAsia" w:ascii="宋体" w:hAnsi="宋体"/>
          <w:sz w:val="24"/>
          <w:szCs w:val="24"/>
        </w:rPr>
        <w:t>除非合同中另有规定，投标人对</w:t>
      </w:r>
      <w:r>
        <w:rPr>
          <w:rFonts w:hint="eastAsia" w:ascii="宋体" w:hAnsi="宋体"/>
          <w:kern w:val="2"/>
          <w:sz w:val="24"/>
          <w:szCs w:val="24"/>
          <w:lang w:val="zh-CN"/>
        </w:rPr>
        <w:t>全部货物和服务的报价应包括所投设备及其备品、备件和专用工具费用、税费（如包括关税、进口货物及其所用原材料、零部件的各种国内外税费）及包装、运至最终目的地的运输、保险、现场吊装、检测验收、安装、调试、技术支持与培训、售后服务与维保及相关劳务支出等工作所发生的全部费用以及投标人企业利润、税金和政策性文件规定及合同包含的所有风险、责任等各项应有费用。投标报价为最终报价，除非因特殊原因并经买卖双方协商同意，投标人不得再要求追加任何费用。同时，除非合同条款中另有规定，否则，投标人所报价格在合同实施期间不因市场变化因素而变动。</w:t>
      </w:r>
    </w:p>
    <w:p w14:paraId="544311C9">
      <w:pPr>
        <w:pStyle w:val="44"/>
        <w:spacing w:after="0" w:line="400" w:lineRule="exact"/>
        <w:ind w:left="0" w:leftChars="0"/>
        <w:rPr>
          <w:rFonts w:ascii="宋体" w:hAnsi="宋体"/>
          <w:sz w:val="24"/>
          <w:szCs w:val="24"/>
        </w:rPr>
      </w:pPr>
      <w:r>
        <w:rPr>
          <w:rFonts w:ascii="宋体" w:hAnsi="宋体"/>
          <w:sz w:val="24"/>
          <w:szCs w:val="24"/>
        </w:rPr>
        <w:t>17.7.2</w:t>
      </w:r>
      <w:r>
        <w:rPr>
          <w:rFonts w:hint="eastAsia" w:ascii="宋体" w:hAnsi="宋体"/>
          <w:sz w:val="24"/>
          <w:szCs w:val="24"/>
        </w:rPr>
        <w:t>投标人应按《投标报价分析表》中的全部服务计算综合总价。《投标报价分析表》中的每一单项均应计算并填写综合总价，并由企业法定代表人或授权委托人签署。</w:t>
      </w:r>
    </w:p>
    <w:p w14:paraId="1BC850B6">
      <w:pPr>
        <w:pStyle w:val="44"/>
        <w:spacing w:after="0" w:line="400" w:lineRule="exact"/>
        <w:ind w:left="0" w:leftChars="0"/>
        <w:rPr>
          <w:rFonts w:ascii="宋体" w:hAnsi="宋体"/>
          <w:sz w:val="24"/>
          <w:szCs w:val="24"/>
        </w:rPr>
      </w:pPr>
      <w:r>
        <w:rPr>
          <w:rFonts w:ascii="宋体" w:hAnsi="宋体"/>
          <w:sz w:val="24"/>
          <w:szCs w:val="24"/>
        </w:rPr>
        <w:t>17.7.3</w:t>
      </w:r>
      <w:r>
        <w:rPr>
          <w:rFonts w:hint="eastAsia" w:ascii="宋体" w:hAnsi="宋体"/>
          <w:sz w:val="24"/>
          <w:szCs w:val="24"/>
        </w:rPr>
        <w:t>投标人应对招标文件内所要采购的全部内容进行报价，只投其中部分内容者，其投标书将被视为不实质性响应。但如果招标文件要求分标段投标的，则投标人可以有选择地只投其中一个或几个标段，也可以投全部标段，但各标段应分别计算并填写单价和总价。</w:t>
      </w:r>
    </w:p>
    <w:p w14:paraId="460C49C0">
      <w:pPr>
        <w:pStyle w:val="44"/>
        <w:spacing w:after="0" w:line="400" w:lineRule="exact"/>
        <w:ind w:left="0" w:leftChars="0"/>
        <w:rPr>
          <w:rFonts w:ascii="宋体" w:hAnsi="宋体"/>
          <w:sz w:val="24"/>
          <w:szCs w:val="24"/>
        </w:rPr>
      </w:pPr>
      <w:r>
        <w:rPr>
          <w:rFonts w:ascii="宋体" w:hAnsi="宋体"/>
          <w:sz w:val="24"/>
          <w:szCs w:val="24"/>
        </w:rPr>
        <w:t>17.7.4</w:t>
      </w:r>
      <w:r>
        <w:rPr>
          <w:rFonts w:hint="eastAsia" w:ascii="宋体" w:hAnsi="宋体"/>
          <w:sz w:val="24"/>
          <w:szCs w:val="24"/>
        </w:rPr>
        <w:t>一项投标内容只允许一个报价，若出现有选择性的投标报价，将被视为不实质性响应。投标人应按《投标报价分析表》中的全部内容的每一单项计算并填写单价和总价，并由企业法定代表人或授权委托人签署。</w:t>
      </w:r>
    </w:p>
    <w:p w14:paraId="30A2526F">
      <w:pPr>
        <w:pStyle w:val="44"/>
        <w:spacing w:after="0" w:line="400" w:lineRule="exact"/>
        <w:ind w:left="0" w:leftChars="0"/>
        <w:rPr>
          <w:rFonts w:ascii="宋体" w:hAnsi="宋体"/>
          <w:sz w:val="24"/>
          <w:szCs w:val="24"/>
        </w:rPr>
      </w:pPr>
      <w:r>
        <w:rPr>
          <w:rFonts w:ascii="宋体" w:hAnsi="宋体"/>
          <w:sz w:val="24"/>
          <w:szCs w:val="24"/>
        </w:rPr>
        <w:t>17.7.5</w:t>
      </w:r>
      <w:r>
        <w:rPr>
          <w:rFonts w:hint="eastAsia" w:ascii="宋体" w:hAnsi="宋体"/>
          <w:sz w:val="24"/>
          <w:szCs w:val="24"/>
        </w:rPr>
        <w:t>投标文件报价采用人民币表示，除非合同的特殊条款另有规定。</w:t>
      </w:r>
    </w:p>
    <w:p w14:paraId="0476D33E">
      <w:pPr>
        <w:pStyle w:val="44"/>
        <w:spacing w:after="0" w:line="400" w:lineRule="exact"/>
        <w:ind w:left="0" w:leftChars="0"/>
        <w:rPr>
          <w:rFonts w:ascii="宋体" w:hAnsi="宋体"/>
          <w:sz w:val="24"/>
          <w:szCs w:val="24"/>
        </w:rPr>
      </w:pPr>
      <w:r>
        <w:rPr>
          <w:rFonts w:ascii="宋体" w:hAnsi="宋体"/>
          <w:sz w:val="24"/>
          <w:szCs w:val="24"/>
        </w:rPr>
        <w:t>17.7.6</w:t>
      </w:r>
      <w:r>
        <w:rPr>
          <w:rFonts w:hint="eastAsia" w:ascii="宋体" w:hAnsi="宋体"/>
          <w:sz w:val="24"/>
          <w:szCs w:val="24"/>
        </w:rPr>
        <w:t>最低报价不能作为中标的保证。</w:t>
      </w:r>
    </w:p>
    <w:p w14:paraId="160C699E">
      <w:pPr>
        <w:spacing w:line="400" w:lineRule="exact"/>
        <w:outlineLvl w:val="0"/>
        <w:rPr>
          <w:rFonts w:ascii="宋体" w:hAnsi="宋体"/>
          <w:b/>
          <w:szCs w:val="24"/>
        </w:rPr>
      </w:pPr>
      <w:r>
        <w:rPr>
          <w:rFonts w:ascii="宋体" w:hAnsi="宋体"/>
          <w:b/>
          <w:szCs w:val="24"/>
        </w:rPr>
        <w:t>18</w:t>
      </w:r>
      <w:r>
        <w:rPr>
          <w:rFonts w:hint="eastAsia" w:ascii="宋体" w:hAnsi="宋体"/>
          <w:b/>
          <w:szCs w:val="24"/>
        </w:rPr>
        <w:t>．投标文件的份数</w:t>
      </w:r>
    </w:p>
    <w:p w14:paraId="01282C7E">
      <w:pPr>
        <w:pStyle w:val="44"/>
        <w:spacing w:after="0" w:line="400" w:lineRule="exact"/>
        <w:ind w:left="0" w:leftChars="0"/>
        <w:rPr>
          <w:rFonts w:ascii="宋体" w:hAnsi="宋体"/>
          <w:sz w:val="24"/>
          <w:szCs w:val="24"/>
        </w:rPr>
      </w:pPr>
      <w:r>
        <w:rPr>
          <w:rFonts w:ascii="宋体" w:hAnsi="宋体"/>
          <w:sz w:val="24"/>
          <w:szCs w:val="24"/>
        </w:rPr>
        <w:t>18.1</w:t>
      </w:r>
      <w:r>
        <w:rPr>
          <w:rFonts w:hint="eastAsia" w:ascii="宋体" w:hAnsi="宋体"/>
          <w:sz w:val="24"/>
          <w:szCs w:val="24"/>
        </w:rPr>
        <w:t>投标人应按本须知的规定，编制一份投标文件“正本</w:t>
      </w:r>
      <w:r>
        <w:rPr>
          <w:rFonts w:ascii="宋体" w:hAnsi="宋体"/>
          <w:sz w:val="24"/>
          <w:szCs w:val="24"/>
        </w:rPr>
        <w:t>”</w:t>
      </w:r>
      <w:r>
        <w:rPr>
          <w:rFonts w:hint="eastAsia" w:ascii="宋体" w:hAnsi="宋体"/>
          <w:sz w:val="24"/>
          <w:szCs w:val="24"/>
        </w:rPr>
        <w:t>和前附表所述份数的“副本</w:t>
      </w:r>
      <w:r>
        <w:rPr>
          <w:rFonts w:ascii="宋体" w:hAnsi="宋体"/>
          <w:sz w:val="24"/>
          <w:szCs w:val="24"/>
        </w:rPr>
        <w:t>”</w:t>
      </w:r>
      <w:r>
        <w:rPr>
          <w:rFonts w:hint="eastAsia" w:ascii="宋体" w:hAnsi="宋体"/>
          <w:sz w:val="24"/>
          <w:szCs w:val="24"/>
        </w:rPr>
        <w:t>，并明确标明“投标文件正本</w:t>
      </w:r>
      <w:r>
        <w:rPr>
          <w:rFonts w:ascii="宋体" w:hAnsi="宋体"/>
          <w:sz w:val="24"/>
          <w:szCs w:val="24"/>
        </w:rPr>
        <w:t>”</w:t>
      </w:r>
      <w:r>
        <w:rPr>
          <w:rFonts w:hint="eastAsia" w:ascii="宋体" w:hAnsi="宋体"/>
          <w:sz w:val="24"/>
          <w:szCs w:val="24"/>
        </w:rPr>
        <w:t>和“投标文件副本</w:t>
      </w:r>
      <w:r>
        <w:rPr>
          <w:rFonts w:ascii="宋体" w:hAnsi="宋体"/>
          <w:sz w:val="24"/>
          <w:szCs w:val="24"/>
        </w:rPr>
        <w:t>”</w:t>
      </w:r>
      <w:r>
        <w:rPr>
          <w:rFonts w:hint="eastAsia" w:ascii="宋体" w:hAnsi="宋体"/>
          <w:sz w:val="24"/>
          <w:szCs w:val="24"/>
        </w:rPr>
        <w:t>。投标文件正本和副本如有不一致之处，以正本为准。</w:t>
      </w:r>
    </w:p>
    <w:p w14:paraId="4FC178FF">
      <w:pPr>
        <w:spacing w:line="400" w:lineRule="exact"/>
        <w:outlineLvl w:val="0"/>
        <w:rPr>
          <w:rFonts w:ascii="宋体" w:hAnsi="宋体"/>
          <w:b/>
          <w:szCs w:val="24"/>
        </w:rPr>
      </w:pPr>
      <w:r>
        <w:rPr>
          <w:rFonts w:ascii="宋体" w:hAnsi="宋体"/>
          <w:b/>
          <w:szCs w:val="24"/>
        </w:rPr>
        <w:t>19</w:t>
      </w:r>
      <w:r>
        <w:rPr>
          <w:rFonts w:hint="eastAsia" w:ascii="宋体" w:hAnsi="宋体"/>
          <w:b/>
          <w:szCs w:val="24"/>
        </w:rPr>
        <w:t>．投标保证金</w:t>
      </w:r>
    </w:p>
    <w:p w14:paraId="18067BC7">
      <w:pPr>
        <w:pStyle w:val="44"/>
        <w:spacing w:after="0" w:line="400" w:lineRule="exact"/>
        <w:ind w:left="0" w:leftChars="0"/>
        <w:rPr>
          <w:rFonts w:ascii="宋体" w:hAnsi="宋体"/>
          <w:sz w:val="24"/>
          <w:szCs w:val="24"/>
        </w:rPr>
      </w:pPr>
      <w:r>
        <w:rPr>
          <w:rFonts w:ascii="宋体" w:hAnsi="宋体"/>
          <w:sz w:val="24"/>
          <w:szCs w:val="24"/>
        </w:rPr>
        <w:t>19.1</w:t>
      </w:r>
      <w:r>
        <w:rPr>
          <w:rFonts w:hint="eastAsia" w:ascii="宋体" w:hAnsi="宋体"/>
          <w:sz w:val="24"/>
          <w:szCs w:val="24"/>
        </w:rPr>
        <w:t>投标人应向招标代理机构提交见前附表规定的投标保证金。（本次采购无需投标保证金）</w:t>
      </w:r>
    </w:p>
    <w:p w14:paraId="14ABE120">
      <w:pPr>
        <w:pStyle w:val="44"/>
        <w:spacing w:after="0" w:line="400" w:lineRule="exact"/>
        <w:ind w:left="0" w:leftChars="0"/>
        <w:rPr>
          <w:rFonts w:ascii="宋体" w:hAnsi="宋体"/>
          <w:sz w:val="24"/>
          <w:szCs w:val="24"/>
        </w:rPr>
      </w:pPr>
      <w:r>
        <w:rPr>
          <w:rFonts w:ascii="宋体" w:hAnsi="宋体"/>
          <w:sz w:val="24"/>
          <w:szCs w:val="24"/>
        </w:rPr>
        <w:t>19.</w:t>
      </w:r>
      <w:r>
        <w:rPr>
          <w:rFonts w:hint="eastAsia" w:ascii="宋体" w:hAnsi="宋体"/>
          <w:sz w:val="24"/>
          <w:szCs w:val="24"/>
        </w:rPr>
        <w:t>2未按上述要求提交投标保证金的投标人，招标采购单位将拒绝接收其投标文件。</w:t>
      </w:r>
    </w:p>
    <w:p w14:paraId="2C3A82E6">
      <w:pPr>
        <w:pStyle w:val="44"/>
        <w:spacing w:after="0" w:line="400" w:lineRule="exact"/>
        <w:ind w:left="0" w:leftChars="0"/>
        <w:rPr>
          <w:rFonts w:ascii="宋体" w:hAnsi="宋体"/>
          <w:sz w:val="24"/>
          <w:szCs w:val="24"/>
        </w:rPr>
      </w:pPr>
      <w:r>
        <w:rPr>
          <w:rFonts w:ascii="宋体" w:hAnsi="宋体"/>
          <w:sz w:val="24"/>
          <w:szCs w:val="24"/>
        </w:rPr>
        <w:t>19.</w:t>
      </w:r>
      <w:r>
        <w:rPr>
          <w:rFonts w:hint="eastAsia" w:ascii="宋体" w:hAnsi="宋体"/>
          <w:sz w:val="24"/>
          <w:szCs w:val="24"/>
        </w:rPr>
        <w:t>3未中标供应商的投标保证金，开标后当场退回。中标供应商的投标保证金将在采购合同签订后五个工作日内，以银行电汇或转账等方式在五个工作日内予以退还（无息）。</w:t>
      </w:r>
    </w:p>
    <w:p w14:paraId="4EDD0F2E">
      <w:pPr>
        <w:pStyle w:val="44"/>
        <w:spacing w:after="0" w:line="400" w:lineRule="exact"/>
        <w:ind w:left="0" w:leftChars="0"/>
        <w:rPr>
          <w:rFonts w:ascii="宋体" w:hAnsi="宋体"/>
          <w:sz w:val="24"/>
          <w:szCs w:val="24"/>
        </w:rPr>
      </w:pPr>
      <w:r>
        <w:rPr>
          <w:rFonts w:ascii="宋体" w:hAnsi="宋体"/>
          <w:sz w:val="24"/>
          <w:szCs w:val="24"/>
        </w:rPr>
        <w:t>19.</w:t>
      </w:r>
      <w:r>
        <w:rPr>
          <w:rFonts w:hint="eastAsia" w:ascii="宋体" w:hAnsi="宋体"/>
          <w:sz w:val="24"/>
          <w:szCs w:val="24"/>
        </w:rPr>
        <w:t>4发生下列情况之一，投标保证金将被没收。</w:t>
      </w:r>
    </w:p>
    <w:p w14:paraId="754DD90B">
      <w:pPr>
        <w:pStyle w:val="44"/>
        <w:spacing w:after="0" w:line="400" w:lineRule="exact"/>
        <w:ind w:left="0" w:leftChars="0"/>
        <w:rPr>
          <w:rFonts w:ascii="宋体" w:hAnsi="宋体"/>
          <w:sz w:val="24"/>
          <w:szCs w:val="24"/>
        </w:rPr>
      </w:pPr>
      <w:r>
        <w:rPr>
          <w:rFonts w:ascii="宋体" w:hAnsi="宋体"/>
          <w:sz w:val="24"/>
          <w:szCs w:val="24"/>
        </w:rPr>
        <w:t>19.</w:t>
      </w:r>
      <w:r>
        <w:rPr>
          <w:rFonts w:hint="eastAsia" w:ascii="宋体" w:hAnsi="宋体"/>
          <w:sz w:val="24"/>
          <w:szCs w:val="24"/>
        </w:rPr>
        <w:t>4</w:t>
      </w:r>
      <w:r>
        <w:rPr>
          <w:rFonts w:ascii="宋体" w:hAnsi="宋体"/>
          <w:sz w:val="24"/>
          <w:szCs w:val="24"/>
        </w:rPr>
        <w:t>.1</w:t>
      </w:r>
      <w:r>
        <w:rPr>
          <w:rFonts w:hint="eastAsia" w:ascii="宋体" w:hAnsi="宋体"/>
          <w:sz w:val="24"/>
          <w:szCs w:val="24"/>
        </w:rPr>
        <w:t>在投标有效期（开标之日起</w:t>
      </w:r>
      <w:r>
        <w:rPr>
          <w:rFonts w:ascii="宋体" w:hAnsi="宋体"/>
          <w:sz w:val="24"/>
          <w:szCs w:val="24"/>
        </w:rPr>
        <w:t>60</w:t>
      </w:r>
      <w:r>
        <w:rPr>
          <w:rFonts w:hint="eastAsia" w:ascii="宋体" w:hAnsi="宋体"/>
          <w:sz w:val="24"/>
          <w:szCs w:val="24"/>
        </w:rPr>
        <w:t>天）内，投标人撤回其投标的；</w:t>
      </w:r>
    </w:p>
    <w:p w14:paraId="3E6F71CF">
      <w:pPr>
        <w:pStyle w:val="44"/>
        <w:spacing w:after="0" w:line="400" w:lineRule="exact"/>
        <w:ind w:left="0" w:leftChars="0"/>
        <w:rPr>
          <w:rFonts w:ascii="宋体" w:hAnsi="宋体"/>
          <w:sz w:val="24"/>
          <w:szCs w:val="24"/>
        </w:rPr>
      </w:pPr>
      <w:r>
        <w:rPr>
          <w:rFonts w:ascii="宋体" w:hAnsi="宋体"/>
          <w:sz w:val="24"/>
          <w:szCs w:val="24"/>
        </w:rPr>
        <w:t>19.</w:t>
      </w:r>
      <w:r>
        <w:rPr>
          <w:rFonts w:hint="eastAsia" w:ascii="宋体" w:hAnsi="宋体"/>
          <w:sz w:val="24"/>
          <w:szCs w:val="24"/>
        </w:rPr>
        <w:t>4</w:t>
      </w:r>
      <w:r>
        <w:rPr>
          <w:rFonts w:ascii="宋体" w:hAnsi="宋体"/>
          <w:sz w:val="24"/>
          <w:szCs w:val="24"/>
        </w:rPr>
        <w:t>.2</w:t>
      </w:r>
      <w:r>
        <w:rPr>
          <w:rFonts w:hint="eastAsia" w:ascii="宋体" w:hAnsi="宋体"/>
          <w:sz w:val="24"/>
          <w:szCs w:val="24"/>
        </w:rPr>
        <w:t>中标供应商无正当理由不与采购人签订合同或拒绝履行合同义务的；</w:t>
      </w:r>
    </w:p>
    <w:p w14:paraId="124A83AB">
      <w:pPr>
        <w:pStyle w:val="44"/>
        <w:spacing w:after="0" w:line="400" w:lineRule="exact"/>
        <w:ind w:left="0" w:leftChars="0"/>
        <w:rPr>
          <w:rFonts w:ascii="宋体" w:hAnsi="宋体"/>
          <w:sz w:val="24"/>
          <w:szCs w:val="24"/>
        </w:rPr>
      </w:pPr>
      <w:r>
        <w:rPr>
          <w:rFonts w:hint="eastAsia" w:ascii="宋体" w:hAnsi="宋体"/>
          <w:sz w:val="24"/>
          <w:szCs w:val="24"/>
        </w:rPr>
        <w:t>19.4.3中标供应商不按本招标文件相关条款规定缴付中标服务费的；</w:t>
      </w:r>
    </w:p>
    <w:p w14:paraId="6EA3374F">
      <w:pPr>
        <w:pStyle w:val="44"/>
        <w:spacing w:after="0" w:line="400" w:lineRule="exact"/>
        <w:ind w:left="0" w:leftChars="0"/>
        <w:rPr>
          <w:rFonts w:ascii="宋体" w:hAnsi="宋体"/>
          <w:sz w:val="24"/>
          <w:szCs w:val="24"/>
        </w:rPr>
      </w:pPr>
      <w:r>
        <w:rPr>
          <w:rFonts w:ascii="宋体" w:hAnsi="宋体"/>
          <w:sz w:val="24"/>
          <w:szCs w:val="24"/>
        </w:rPr>
        <w:t>19.</w:t>
      </w:r>
      <w:r>
        <w:rPr>
          <w:rFonts w:hint="eastAsia" w:ascii="宋体" w:hAnsi="宋体"/>
          <w:sz w:val="24"/>
          <w:szCs w:val="24"/>
        </w:rPr>
        <w:t>4</w:t>
      </w:r>
      <w:r>
        <w:rPr>
          <w:rFonts w:ascii="宋体" w:hAnsi="宋体"/>
          <w:sz w:val="24"/>
          <w:szCs w:val="24"/>
        </w:rPr>
        <w:t>.4</w:t>
      </w:r>
      <w:r>
        <w:rPr>
          <w:rFonts w:hint="eastAsia" w:ascii="宋体" w:hAnsi="宋体"/>
          <w:sz w:val="24"/>
          <w:szCs w:val="24"/>
        </w:rPr>
        <w:t>投标人在投标过程中有违反有关法律法规的行为。</w:t>
      </w:r>
    </w:p>
    <w:p w14:paraId="65254248">
      <w:pPr>
        <w:widowControl w:val="0"/>
        <w:spacing w:line="400" w:lineRule="exact"/>
        <w:jc w:val="both"/>
        <w:rPr>
          <w:rFonts w:ascii="宋体" w:hAnsi="宋体"/>
          <w:szCs w:val="24"/>
        </w:rPr>
      </w:pPr>
      <w:r>
        <w:rPr>
          <w:rFonts w:ascii="宋体" w:hAnsi="宋体"/>
          <w:szCs w:val="24"/>
        </w:rPr>
        <w:t>19.</w:t>
      </w:r>
      <w:r>
        <w:rPr>
          <w:rFonts w:hint="eastAsia" w:ascii="宋体" w:hAnsi="宋体"/>
          <w:szCs w:val="24"/>
        </w:rPr>
        <w:t>4</w:t>
      </w:r>
      <w:r>
        <w:rPr>
          <w:rFonts w:ascii="宋体" w:hAnsi="宋体"/>
          <w:szCs w:val="24"/>
        </w:rPr>
        <w:t>.5</w:t>
      </w:r>
      <w:r>
        <w:rPr>
          <w:rFonts w:hint="eastAsia" w:ascii="宋体" w:hAnsi="宋体"/>
          <w:szCs w:val="24"/>
        </w:rPr>
        <w:t>投标人串通投标、行贿或投标文件中含有故意的虚假陈述；</w:t>
      </w:r>
    </w:p>
    <w:p w14:paraId="6FFC39CF">
      <w:pPr>
        <w:widowControl w:val="0"/>
        <w:spacing w:line="400" w:lineRule="exact"/>
        <w:jc w:val="both"/>
        <w:rPr>
          <w:rFonts w:ascii="宋体" w:hAnsi="宋体"/>
          <w:szCs w:val="24"/>
        </w:rPr>
      </w:pPr>
      <w:r>
        <w:rPr>
          <w:rFonts w:ascii="宋体" w:hAnsi="宋体"/>
          <w:szCs w:val="24"/>
        </w:rPr>
        <w:t>19.</w:t>
      </w:r>
      <w:r>
        <w:rPr>
          <w:rFonts w:hint="eastAsia" w:ascii="宋体" w:hAnsi="宋体"/>
          <w:szCs w:val="24"/>
        </w:rPr>
        <w:t>4</w:t>
      </w:r>
      <w:r>
        <w:rPr>
          <w:rFonts w:ascii="宋体" w:hAnsi="宋体"/>
          <w:szCs w:val="24"/>
        </w:rPr>
        <w:t>.6</w:t>
      </w:r>
      <w:r>
        <w:rPr>
          <w:rFonts w:hint="eastAsia" w:ascii="宋体" w:hAnsi="宋体"/>
          <w:szCs w:val="24"/>
        </w:rPr>
        <w:t>在投标有效期内，投标人撤销其投标文件的；</w:t>
      </w:r>
    </w:p>
    <w:p w14:paraId="584C6651">
      <w:pPr>
        <w:widowControl w:val="0"/>
        <w:spacing w:line="400" w:lineRule="exact"/>
        <w:jc w:val="both"/>
        <w:rPr>
          <w:rFonts w:ascii="宋体" w:hAnsi="宋体"/>
          <w:szCs w:val="24"/>
        </w:rPr>
      </w:pPr>
      <w:r>
        <w:rPr>
          <w:rFonts w:ascii="宋体" w:hAnsi="宋体"/>
          <w:szCs w:val="24"/>
        </w:rPr>
        <w:t>19.</w:t>
      </w:r>
      <w:r>
        <w:rPr>
          <w:rFonts w:hint="eastAsia" w:ascii="宋体" w:hAnsi="宋体"/>
          <w:szCs w:val="24"/>
        </w:rPr>
        <w:t>5投标人因自身原因逾期未办理退还投标保证金手续的，采购人和采购代理机构不承担任何损失。</w:t>
      </w:r>
    </w:p>
    <w:p w14:paraId="1425DA4E">
      <w:pPr>
        <w:widowControl w:val="0"/>
        <w:spacing w:line="400" w:lineRule="exact"/>
        <w:jc w:val="both"/>
        <w:rPr>
          <w:rFonts w:ascii="宋体" w:hAnsi="宋体"/>
          <w:szCs w:val="24"/>
        </w:rPr>
      </w:pPr>
      <w:r>
        <w:rPr>
          <w:rFonts w:ascii="宋体" w:hAnsi="宋体"/>
          <w:szCs w:val="24"/>
        </w:rPr>
        <w:t>19.</w:t>
      </w:r>
      <w:r>
        <w:rPr>
          <w:rFonts w:hint="eastAsia" w:ascii="宋体" w:hAnsi="宋体"/>
          <w:szCs w:val="24"/>
        </w:rPr>
        <w:t>6投标保证金的退还形式：投标人代表将采购代理机构开具的投标保证金收据原件交至采购代理机构后，由采购代理机构将投标保证金转入投标人账户。</w:t>
      </w:r>
    </w:p>
    <w:p w14:paraId="5F982E76">
      <w:pPr>
        <w:spacing w:line="400" w:lineRule="exact"/>
        <w:rPr>
          <w:rFonts w:ascii="宋体" w:hAnsi="宋体"/>
          <w:szCs w:val="24"/>
        </w:rPr>
      </w:pPr>
      <w:r>
        <w:rPr>
          <w:rFonts w:ascii="宋体" w:hAnsi="宋体"/>
          <w:b/>
          <w:szCs w:val="24"/>
        </w:rPr>
        <w:t>20</w:t>
      </w:r>
      <w:r>
        <w:rPr>
          <w:rFonts w:hint="eastAsia" w:ascii="宋体" w:hAnsi="宋体"/>
          <w:b/>
          <w:szCs w:val="24"/>
        </w:rPr>
        <w:t>．投标文件的有效期</w:t>
      </w:r>
    </w:p>
    <w:p w14:paraId="058D8EEE">
      <w:pPr>
        <w:widowControl w:val="0"/>
        <w:spacing w:line="400" w:lineRule="exact"/>
        <w:jc w:val="both"/>
        <w:rPr>
          <w:rFonts w:ascii="宋体" w:hAnsi="宋体"/>
          <w:szCs w:val="24"/>
        </w:rPr>
      </w:pPr>
      <w:r>
        <w:rPr>
          <w:rFonts w:ascii="宋体" w:hAnsi="宋体"/>
          <w:szCs w:val="24"/>
        </w:rPr>
        <w:t>20.1</w:t>
      </w:r>
      <w:r>
        <w:rPr>
          <w:rFonts w:hint="eastAsia" w:ascii="宋体" w:hAnsi="宋体"/>
          <w:szCs w:val="24"/>
        </w:rPr>
        <w:t>在本招标文件前附表规定的投标文件有效期内，投标人所提交的投标文件应保持有效。有效期短于这个规定期限的投标文件，将被认定为未实质性响应招标文件要求。</w:t>
      </w:r>
    </w:p>
    <w:p w14:paraId="30799B87">
      <w:pPr>
        <w:widowControl w:val="0"/>
        <w:spacing w:line="400" w:lineRule="exact"/>
        <w:jc w:val="both"/>
        <w:rPr>
          <w:rFonts w:ascii="宋体" w:hAnsi="宋体"/>
          <w:szCs w:val="24"/>
        </w:rPr>
      </w:pPr>
      <w:r>
        <w:rPr>
          <w:rFonts w:ascii="宋体" w:hAnsi="宋体"/>
          <w:szCs w:val="24"/>
        </w:rPr>
        <w:t>20.2</w:t>
      </w:r>
      <w:r>
        <w:rPr>
          <w:rFonts w:hint="eastAsia" w:ascii="宋体" w:hAnsi="宋体"/>
          <w:szCs w:val="24"/>
        </w:rPr>
        <w:t>在特殊情况下，招标采购单位可与投标人协商延长投标书的有效期。这种要求和答复都应以书面形式进行。同意延长有效期的投标人不能修改投标文件，按本须知规定的投标保证金的有效期也相应延长。拒绝接受延期要求的投标人的投标将被拒绝，但投标保证金不会被没收。</w:t>
      </w:r>
    </w:p>
    <w:p w14:paraId="3AD6F192">
      <w:pPr>
        <w:widowControl w:val="0"/>
        <w:spacing w:line="400" w:lineRule="exact"/>
        <w:jc w:val="both"/>
        <w:rPr>
          <w:rFonts w:ascii="宋体" w:hAnsi="宋体"/>
          <w:b/>
          <w:szCs w:val="24"/>
        </w:rPr>
      </w:pPr>
      <w:r>
        <w:rPr>
          <w:rFonts w:ascii="宋体" w:hAnsi="宋体"/>
          <w:b/>
          <w:szCs w:val="24"/>
        </w:rPr>
        <w:t>21</w:t>
      </w:r>
      <w:r>
        <w:rPr>
          <w:rFonts w:hint="eastAsia" w:ascii="宋体" w:hAnsi="宋体"/>
          <w:b/>
          <w:szCs w:val="24"/>
        </w:rPr>
        <w:t>．投标文件的份数和签署</w:t>
      </w:r>
    </w:p>
    <w:p w14:paraId="79E1A120">
      <w:pPr>
        <w:widowControl w:val="0"/>
        <w:spacing w:line="400" w:lineRule="exact"/>
        <w:jc w:val="both"/>
        <w:rPr>
          <w:rFonts w:ascii="宋体" w:hAnsi="宋体"/>
          <w:szCs w:val="24"/>
        </w:rPr>
      </w:pPr>
      <w:r>
        <w:rPr>
          <w:rFonts w:ascii="宋体" w:hAnsi="宋体"/>
          <w:szCs w:val="24"/>
        </w:rPr>
        <w:t>21.1</w:t>
      </w:r>
      <w:r>
        <w:rPr>
          <w:rFonts w:hint="eastAsia" w:ascii="宋体" w:hAnsi="宋体"/>
          <w:szCs w:val="24"/>
        </w:rPr>
        <w:t>投标人应按本须知的规定和前附表所述份数，编制投标文件“正本”和“副本”，并明确标明“正本”和“副本”。投标文件正本和副本如有不一致之处，以正本为准。</w:t>
      </w:r>
    </w:p>
    <w:p w14:paraId="7F2CE813">
      <w:pPr>
        <w:widowControl w:val="0"/>
        <w:spacing w:line="400" w:lineRule="exact"/>
        <w:jc w:val="both"/>
        <w:rPr>
          <w:rFonts w:ascii="宋体" w:hAnsi="宋体"/>
          <w:szCs w:val="24"/>
        </w:rPr>
      </w:pPr>
      <w:r>
        <w:rPr>
          <w:rFonts w:ascii="宋体" w:hAnsi="宋体"/>
          <w:szCs w:val="24"/>
        </w:rPr>
        <w:t>21.2</w:t>
      </w:r>
      <w:r>
        <w:rPr>
          <w:rFonts w:hint="eastAsia" w:ascii="宋体" w:hAnsi="宋体"/>
          <w:szCs w:val="24"/>
        </w:rPr>
        <w:t>投标文件正本和副本均应使用不能擦去的黑色或蓝色墨水打印或书写，由投标人法定代表人（负责人）或代理人在招标文件要求处亲自签署或盖章，并加盖公章。若未按上述要求签署的投标文件将拒绝。</w:t>
      </w:r>
    </w:p>
    <w:p w14:paraId="6F5AE358">
      <w:pPr>
        <w:widowControl w:val="0"/>
        <w:spacing w:line="400" w:lineRule="exact"/>
        <w:jc w:val="both"/>
        <w:rPr>
          <w:rFonts w:ascii="宋体" w:hAnsi="宋体"/>
          <w:szCs w:val="24"/>
        </w:rPr>
      </w:pPr>
      <w:r>
        <w:rPr>
          <w:rFonts w:ascii="宋体" w:hAnsi="宋体"/>
          <w:szCs w:val="24"/>
        </w:rPr>
        <w:t>21.3</w:t>
      </w:r>
      <w:r>
        <w:rPr>
          <w:rFonts w:hint="eastAsia" w:ascii="宋体" w:hAnsi="宋体"/>
          <w:szCs w:val="24"/>
        </w:rPr>
        <w:t>全套投标文件应无涂改和行间插字，除非这些删改是根据招标采购单位指示进行的</w:t>
      </w:r>
      <w:r>
        <w:rPr>
          <w:rFonts w:ascii="宋体" w:hAnsi="宋体"/>
          <w:szCs w:val="24"/>
        </w:rPr>
        <w:t>,</w:t>
      </w:r>
      <w:r>
        <w:rPr>
          <w:rFonts w:hint="eastAsia" w:ascii="宋体" w:hAnsi="宋体"/>
          <w:szCs w:val="24"/>
        </w:rPr>
        <w:t>或者是投标人造成的必须修改的错误。但修改处应由投标文件签字人签字证明。</w:t>
      </w:r>
    </w:p>
    <w:p w14:paraId="5B36BD53">
      <w:pPr>
        <w:spacing w:line="400" w:lineRule="exact"/>
        <w:outlineLvl w:val="0"/>
        <w:rPr>
          <w:rFonts w:ascii="宋体" w:hAnsi="宋体"/>
          <w:b/>
          <w:szCs w:val="24"/>
        </w:rPr>
      </w:pPr>
      <w:r>
        <w:rPr>
          <w:rFonts w:hint="eastAsia" w:ascii="宋体" w:hAnsi="宋体"/>
          <w:b/>
          <w:szCs w:val="24"/>
        </w:rPr>
        <w:t>五、投标文件的递交</w:t>
      </w:r>
    </w:p>
    <w:p w14:paraId="508B83A0">
      <w:pPr>
        <w:spacing w:line="400" w:lineRule="exact"/>
        <w:outlineLvl w:val="0"/>
        <w:rPr>
          <w:rFonts w:ascii="宋体" w:hAnsi="宋体"/>
          <w:szCs w:val="24"/>
        </w:rPr>
      </w:pPr>
      <w:r>
        <w:rPr>
          <w:rFonts w:ascii="宋体" w:hAnsi="宋体"/>
          <w:b/>
          <w:szCs w:val="24"/>
        </w:rPr>
        <w:t>22</w:t>
      </w:r>
      <w:r>
        <w:rPr>
          <w:rFonts w:hint="eastAsia" w:ascii="宋体" w:hAnsi="宋体"/>
          <w:b/>
          <w:szCs w:val="24"/>
        </w:rPr>
        <w:t>．投标文件的密封及标记</w:t>
      </w:r>
    </w:p>
    <w:p w14:paraId="07A7CDD4">
      <w:pPr>
        <w:pStyle w:val="44"/>
        <w:spacing w:after="0" w:line="400" w:lineRule="exact"/>
        <w:ind w:left="0" w:leftChars="0"/>
        <w:rPr>
          <w:rFonts w:ascii="宋体" w:hAnsi="宋体"/>
          <w:sz w:val="24"/>
          <w:szCs w:val="24"/>
        </w:rPr>
      </w:pPr>
      <w:r>
        <w:rPr>
          <w:rFonts w:ascii="宋体" w:hAnsi="宋体"/>
          <w:sz w:val="24"/>
          <w:szCs w:val="24"/>
        </w:rPr>
        <w:t>22.1</w:t>
      </w:r>
      <w:r>
        <w:rPr>
          <w:rFonts w:hint="eastAsia" w:ascii="宋体" w:hAnsi="宋体"/>
          <w:sz w:val="24"/>
          <w:szCs w:val="24"/>
        </w:rPr>
        <w:t>投标人应将全部投标文件〔含投标书一（报价部分）、投标书二（技术部分、资格证明文件）〕进行密封。密封袋的封皮上写明采购编号、采购单位名称、采购项目名称、投标人名称，并注明“开标时启封”字样。投标文件应密封完好，封袋上应有投标人法定代表人（负责人）或其代理人的签字或盖章，并加盖投标人单位公章。（</w:t>
      </w:r>
      <w:r>
        <w:rPr>
          <w:rFonts w:hint="eastAsia" w:ascii="宋体" w:hAnsi="宋体"/>
          <w:kern w:val="2"/>
          <w:sz w:val="24"/>
          <w:szCs w:val="24"/>
          <w:lang w:val="zh-CN"/>
        </w:rPr>
        <w:t>若分标段的，需注明标段号</w:t>
      </w:r>
      <w:r>
        <w:rPr>
          <w:rFonts w:hint="eastAsia" w:ascii="宋体" w:hAnsi="宋体"/>
          <w:sz w:val="24"/>
          <w:szCs w:val="24"/>
        </w:rPr>
        <w:t>）</w:t>
      </w:r>
    </w:p>
    <w:p w14:paraId="29ED536C">
      <w:pPr>
        <w:pStyle w:val="44"/>
        <w:spacing w:after="0" w:line="400" w:lineRule="exact"/>
        <w:ind w:left="0" w:leftChars="0"/>
        <w:rPr>
          <w:rFonts w:ascii="宋体" w:hAnsi="宋体"/>
          <w:sz w:val="24"/>
          <w:szCs w:val="24"/>
        </w:rPr>
      </w:pPr>
      <w:r>
        <w:rPr>
          <w:rFonts w:ascii="宋体" w:hAnsi="宋体"/>
          <w:sz w:val="24"/>
          <w:szCs w:val="24"/>
        </w:rPr>
        <w:t>22.2</w:t>
      </w:r>
      <w:r>
        <w:rPr>
          <w:rFonts w:hint="eastAsia" w:ascii="宋体" w:hAnsi="宋体"/>
          <w:sz w:val="24"/>
          <w:szCs w:val="24"/>
        </w:rPr>
        <w:t>如果投标人未按上述要求密封及加写标记，招标采购单位将不承担投标文件提前开封的责任并有权拒绝接受其投标文件。</w:t>
      </w:r>
    </w:p>
    <w:p w14:paraId="3B28DC0F">
      <w:pPr>
        <w:spacing w:line="400" w:lineRule="exact"/>
        <w:outlineLvl w:val="0"/>
        <w:rPr>
          <w:rFonts w:ascii="宋体" w:hAnsi="宋体"/>
          <w:b/>
          <w:szCs w:val="24"/>
        </w:rPr>
      </w:pPr>
      <w:r>
        <w:rPr>
          <w:rFonts w:ascii="宋体" w:hAnsi="宋体"/>
          <w:b/>
          <w:szCs w:val="24"/>
        </w:rPr>
        <w:t>23</w:t>
      </w:r>
      <w:r>
        <w:rPr>
          <w:rFonts w:hint="eastAsia" w:ascii="宋体" w:hAnsi="宋体"/>
          <w:b/>
          <w:szCs w:val="24"/>
        </w:rPr>
        <w:t>．投标截止时间</w:t>
      </w:r>
    </w:p>
    <w:p w14:paraId="662DFBF8">
      <w:pPr>
        <w:pStyle w:val="44"/>
        <w:spacing w:after="0" w:line="400" w:lineRule="exact"/>
        <w:ind w:left="0" w:leftChars="0"/>
        <w:rPr>
          <w:rFonts w:ascii="宋体" w:hAnsi="宋体"/>
          <w:sz w:val="24"/>
          <w:szCs w:val="24"/>
        </w:rPr>
      </w:pPr>
      <w:r>
        <w:rPr>
          <w:rFonts w:ascii="宋体" w:hAnsi="宋体"/>
          <w:sz w:val="24"/>
          <w:szCs w:val="24"/>
        </w:rPr>
        <w:t>23.1</w:t>
      </w:r>
      <w:r>
        <w:rPr>
          <w:rFonts w:hint="eastAsia" w:ascii="宋体" w:hAnsi="宋体"/>
          <w:sz w:val="24"/>
          <w:szCs w:val="24"/>
        </w:rPr>
        <w:t>投标文件必须在投标截止时间前派人送达到投标人须知前附表规定的投标地点。招标采购单位推迟投标截止时间时，应以书面（或传真、电报）的形式，通知所有投标人。在这种情况下，招标采购单位和投标人的权利和义务将受到新的截止期的约束。</w:t>
      </w:r>
    </w:p>
    <w:p w14:paraId="580D8CBF">
      <w:pPr>
        <w:pStyle w:val="44"/>
        <w:spacing w:after="0" w:line="400" w:lineRule="exact"/>
        <w:ind w:left="0" w:leftChars="0"/>
        <w:rPr>
          <w:rFonts w:ascii="宋体" w:hAnsi="宋体"/>
          <w:sz w:val="24"/>
          <w:szCs w:val="24"/>
        </w:rPr>
      </w:pPr>
      <w:r>
        <w:rPr>
          <w:rFonts w:ascii="宋体" w:hAnsi="宋体"/>
          <w:sz w:val="24"/>
          <w:szCs w:val="24"/>
        </w:rPr>
        <w:t>23.2</w:t>
      </w:r>
      <w:r>
        <w:rPr>
          <w:rFonts w:hint="eastAsia" w:ascii="宋体" w:hAnsi="宋体"/>
          <w:sz w:val="24"/>
          <w:szCs w:val="24"/>
        </w:rPr>
        <w:t>在投标截止时间以后送达的投标文件，招标代理机构将拒绝接收。</w:t>
      </w:r>
    </w:p>
    <w:p w14:paraId="7518CFB5">
      <w:pPr>
        <w:pStyle w:val="44"/>
        <w:spacing w:after="0" w:line="400" w:lineRule="exact"/>
        <w:ind w:left="0" w:leftChars="0"/>
        <w:rPr>
          <w:rFonts w:ascii="宋体" w:hAnsi="宋体"/>
          <w:sz w:val="24"/>
          <w:szCs w:val="24"/>
        </w:rPr>
      </w:pPr>
      <w:r>
        <w:rPr>
          <w:rFonts w:ascii="宋体" w:hAnsi="宋体"/>
          <w:sz w:val="24"/>
          <w:szCs w:val="24"/>
        </w:rPr>
        <w:t>23.3</w:t>
      </w:r>
      <w:r>
        <w:rPr>
          <w:rFonts w:hint="eastAsia" w:ascii="宋体" w:hAnsi="宋体"/>
          <w:sz w:val="24"/>
          <w:szCs w:val="24"/>
        </w:rPr>
        <w:t>在投标截止时间递交投标文件的投标单位少于三家的，招标代理机构有权宣布本次招标失败。</w:t>
      </w:r>
    </w:p>
    <w:p w14:paraId="70E0F37B">
      <w:pPr>
        <w:spacing w:line="400" w:lineRule="exact"/>
        <w:outlineLvl w:val="0"/>
        <w:rPr>
          <w:rFonts w:ascii="宋体" w:hAnsi="宋体"/>
          <w:b/>
          <w:szCs w:val="24"/>
        </w:rPr>
      </w:pPr>
      <w:r>
        <w:rPr>
          <w:rFonts w:ascii="宋体" w:hAnsi="宋体"/>
          <w:b/>
          <w:szCs w:val="24"/>
        </w:rPr>
        <w:t>24</w:t>
      </w:r>
      <w:r>
        <w:rPr>
          <w:rFonts w:hint="eastAsia" w:ascii="宋体" w:hAnsi="宋体"/>
          <w:b/>
          <w:szCs w:val="24"/>
        </w:rPr>
        <w:t>．投标文件的修改和撤回</w:t>
      </w:r>
    </w:p>
    <w:p w14:paraId="3FF5C151">
      <w:pPr>
        <w:spacing w:line="400" w:lineRule="exact"/>
        <w:outlineLvl w:val="0"/>
        <w:rPr>
          <w:rFonts w:ascii="宋体" w:hAnsi="宋体"/>
          <w:b/>
          <w:szCs w:val="24"/>
        </w:rPr>
      </w:pPr>
      <w:r>
        <w:rPr>
          <w:rFonts w:ascii="宋体" w:hAnsi="宋体"/>
          <w:szCs w:val="24"/>
        </w:rPr>
        <w:t>24.1</w:t>
      </w:r>
      <w:r>
        <w:rPr>
          <w:rFonts w:hint="eastAsia" w:ascii="宋体" w:hAnsi="宋体"/>
          <w:szCs w:val="24"/>
        </w:rPr>
        <w:t>投标人在提交投标文件后可对其投标文件进行修改或撤回，但招标采购单位须在投标截止时间之前收到该修改的书面通知或收到该撤回的书面通知。投标人撤回投标的，原投标文件招标采购单位将予以退还。</w:t>
      </w:r>
    </w:p>
    <w:p w14:paraId="741F8870">
      <w:pPr>
        <w:pStyle w:val="44"/>
        <w:spacing w:after="0" w:line="400" w:lineRule="exact"/>
        <w:ind w:left="0" w:leftChars="0"/>
        <w:rPr>
          <w:rFonts w:ascii="宋体" w:hAnsi="宋体"/>
          <w:sz w:val="24"/>
          <w:szCs w:val="24"/>
        </w:rPr>
      </w:pPr>
      <w:r>
        <w:rPr>
          <w:rFonts w:ascii="宋体" w:hAnsi="宋体"/>
          <w:sz w:val="24"/>
          <w:szCs w:val="24"/>
        </w:rPr>
        <w:t>24.2</w:t>
      </w:r>
      <w:r>
        <w:rPr>
          <w:rFonts w:hint="eastAsia" w:ascii="宋体" w:hAnsi="宋体"/>
          <w:sz w:val="24"/>
          <w:szCs w:val="24"/>
        </w:rPr>
        <w:t>投标人修改投标文件的书面材料，须密封送达招标代理机构，同时应在封套上标明“修改投标文件（并注明采购编号）”和“开标时启封”字样。补充、修改的内容应当按招标文件要求签署、盖章，并作为投标文件的组成部分。</w:t>
      </w:r>
    </w:p>
    <w:p w14:paraId="2ED777E6">
      <w:pPr>
        <w:pStyle w:val="44"/>
        <w:spacing w:after="0" w:line="400" w:lineRule="exact"/>
        <w:ind w:left="0" w:leftChars="0"/>
        <w:rPr>
          <w:rFonts w:ascii="宋体" w:hAnsi="宋体"/>
          <w:sz w:val="24"/>
          <w:szCs w:val="24"/>
        </w:rPr>
      </w:pPr>
      <w:r>
        <w:rPr>
          <w:rFonts w:hint="eastAsia" w:ascii="宋体" w:hAnsi="宋体"/>
          <w:sz w:val="24"/>
          <w:szCs w:val="24"/>
        </w:rPr>
        <w:t>24.3</w:t>
      </w:r>
      <w:r>
        <w:rPr>
          <w:rFonts w:ascii="宋体" w:hAnsi="宋体"/>
          <w:sz w:val="24"/>
          <w:szCs w:val="24"/>
        </w:rPr>
        <w:t xml:space="preserve"> </w:t>
      </w:r>
      <w:r>
        <w:rPr>
          <w:rFonts w:hint="eastAsia" w:ascii="宋体" w:hAnsi="宋体"/>
          <w:sz w:val="24"/>
          <w:szCs w:val="24"/>
        </w:rPr>
        <w:t>撤回投标应以书面形式在投标截止时间前通知招标采购单位。该书面撤回通知应由投标人法定代表人（负责人）或代理人签署并加盖投标人单位公章。撤回投标的时间以书面撤回通知送达招标采购单位或邮电到达日戳为准。</w:t>
      </w:r>
    </w:p>
    <w:p w14:paraId="73BAA26E">
      <w:pPr>
        <w:spacing w:line="400" w:lineRule="exact"/>
        <w:outlineLvl w:val="0"/>
        <w:rPr>
          <w:rFonts w:ascii="宋体" w:hAnsi="宋体"/>
          <w:b/>
          <w:szCs w:val="24"/>
        </w:rPr>
      </w:pPr>
      <w:r>
        <w:rPr>
          <w:rFonts w:hint="eastAsia" w:ascii="宋体" w:hAnsi="宋体"/>
          <w:b/>
          <w:szCs w:val="24"/>
        </w:rPr>
        <w:t>六、开标和评标</w:t>
      </w:r>
    </w:p>
    <w:p w14:paraId="3B5C55DF">
      <w:pPr>
        <w:spacing w:line="400" w:lineRule="exact"/>
        <w:outlineLvl w:val="0"/>
        <w:rPr>
          <w:rFonts w:ascii="宋体" w:hAnsi="宋体"/>
          <w:b/>
          <w:szCs w:val="24"/>
        </w:rPr>
      </w:pPr>
      <w:r>
        <w:rPr>
          <w:rFonts w:ascii="宋体" w:hAnsi="宋体"/>
          <w:b/>
          <w:szCs w:val="24"/>
        </w:rPr>
        <w:t>25</w:t>
      </w:r>
      <w:r>
        <w:rPr>
          <w:rFonts w:hint="eastAsia" w:ascii="宋体" w:hAnsi="宋体"/>
          <w:b/>
          <w:szCs w:val="24"/>
        </w:rPr>
        <w:t>．开标</w:t>
      </w:r>
    </w:p>
    <w:p w14:paraId="47F499C5">
      <w:pPr>
        <w:spacing w:line="400" w:lineRule="exact"/>
        <w:outlineLvl w:val="0"/>
        <w:rPr>
          <w:rFonts w:ascii="宋体" w:hAnsi="宋体"/>
          <w:szCs w:val="24"/>
        </w:rPr>
      </w:pPr>
      <w:r>
        <w:rPr>
          <w:rFonts w:ascii="宋体" w:hAnsi="宋体"/>
          <w:szCs w:val="24"/>
        </w:rPr>
        <w:t>25.1</w:t>
      </w:r>
      <w:r>
        <w:rPr>
          <w:rFonts w:hint="eastAsia" w:ascii="宋体" w:hAnsi="宋体"/>
          <w:szCs w:val="24"/>
        </w:rPr>
        <w:t>开标由招标采购单位主持，采购人、投标人和有关方面代表参加。</w:t>
      </w:r>
    </w:p>
    <w:p w14:paraId="5D83DD73">
      <w:pPr>
        <w:spacing w:line="400" w:lineRule="exact"/>
        <w:outlineLvl w:val="0"/>
        <w:rPr>
          <w:rFonts w:ascii="宋体" w:hAnsi="宋体"/>
          <w:szCs w:val="24"/>
        </w:rPr>
      </w:pPr>
      <w:r>
        <w:rPr>
          <w:rFonts w:ascii="宋体" w:hAnsi="宋体"/>
          <w:szCs w:val="24"/>
        </w:rPr>
        <w:t>25.2</w:t>
      </w:r>
      <w:r>
        <w:rPr>
          <w:rFonts w:hint="eastAsia" w:ascii="宋体" w:hAnsi="宋体"/>
          <w:szCs w:val="24"/>
        </w:rPr>
        <w:t>参加开标的投标人法定代表人或代理人应携带本人身份证明签名报到，以证明其出席开标会议。</w:t>
      </w:r>
    </w:p>
    <w:p w14:paraId="1104FB8D">
      <w:pPr>
        <w:spacing w:line="400" w:lineRule="exact"/>
        <w:outlineLvl w:val="0"/>
        <w:rPr>
          <w:rFonts w:ascii="宋体" w:hAnsi="宋体"/>
          <w:szCs w:val="24"/>
        </w:rPr>
      </w:pPr>
      <w:r>
        <w:rPr>
          <w:rFonts w:ascii="宋体" w:hAnsi="宋体"/>
          <w:szCs w:val="24"/>
        </w:rPr>
        <w:t>25.3</w:t>
      </w:r>
      <w:r>
        <w:rPr>
          <w:rFonts w:hint="eastAsia" w:ascii="宋体" w:hAnsi="宋体"/>
          <w:szCs w:val="24"/>
        </w:rPr>
        <w:t>开标时由各投标单位检查投标文件密封情况，确认无误后由采购代理机构工作人员当众拆封唱标。</w:t>
      </w:r>
    </w:p>
    <w:p w14:paraId="54A92AE3">
      <w:pPr>
        <w:spacing w:line="400" w:lineRule="exact"/>
        <w:outlineLvl w:val="0"/>
        <w:rPr>
          <w:rFonts w:ascii="宋体" w:hAnsi="宋体"/>
          <w:szCs w:val="24"/>
        </w:rPr>
      </w:pPr>
      <w:r>
        <w:rPr>
          <w:rFonts w:ascii="宋体" w:hAnsi="宋体"/>
          <w:szCs w:val="24"/>
        </w:rPr>
        <w:t>25.4</w:t>
      </w:r>
      <w:r>
        <w:rPr>
          <w:rFonts w:hint="eastAsia" w:ascii="宋体" w:hAnsi="宋体"/>
          <w:szCs w:val="24"/>
        </w:rPr>
        <w:t>招标采购单位在开标仪式上，将公布投标人的名称、投标价格及其投标的修改、投标的撤回等，并将作唱标记录。</w:t>
      </w:r>
    </w:p>
    <w:p w14:paraId="6359F0ED">
      <w:pPr>
        <w:spacing w:line="400" w:lineRule="exact"/>
        <w:outlineLvl w:val="0"/>
        <w:rPr>
          <w:rFonts w:ascii="宋体" w:hAnsi="宋体"/>
          <w:szCs w:val="24"/>
        </w:rPr>
      </w:pPr>
      <w:r>
        <w:rPr>
          <w:rFonts w:ascii="宋体" w:hAnsi="宋体"/>
          <w:szCs w:val="24"/>
        </w:rPr>
        <w:t>25.5</w:t>
      </w:r>
      <w:r>
        <w:rPr>
          <w:rFonts w:hint="eastAsia" w:ascii="宋体" w:hAnsi="宋体"/>
          <w:szCs w:val="24"/>
        </w:rPr>
        <w:t>投标人法定代表人或委托代理人未准时参加开标会议的视为自动放弃投标，其投标文件将不予评审。</w:t>
      </w:r>
    </w:p>
    <w:p w14:paraId="3FD29592">
      <w:pPr>
        <w:spacing w:line="400" w:lineRule="exact"/>
        <w:outlineLvl w:val="0"/>
        <w:rPr>
          <w:rFonts w:ascii="宋体" w:hAnsi="宋体"/>
          <w:b/>
          <w:szCs w:val="24"/>
        </w:rPr>
      </w:pPr>
      <w:r>
        <w:rPr>
          <w:rFonts w:ascii="宋体" w:hAnsi="宋体"/>
          <w:b/>
          <w:szCs w:val="24"/>
        </w:rPr>
        <w:t>26</w:t>
      </w:r>
      <w:r>
        <w:rPr>
          <w:rFonts w:hint="eastAsia" w:ascii="宋体" w:hAnsi="宋体"/>
          <w:b/>
          <w:szCs w:val="24"/>
        </w:rPr>
        <w:t>．评标委员会或评标小组</w:t>
      </w:r>
    </w:p>
    <w:p w14:paraId="72C0D92B">
      <w:pPr>
        <w:pStyle w:val="44"/>
        <w:spacing w:after="0" w:line="400" w:lineRule="exact"/>
        <w:ind w:left="0" w:leftChars="0"/>
        <w:rPr>
          <w:rFonts w:ascii="宋体" w:hAnsi="宋体"/>
          <w:sz w:val="24"/>
          <w:szCs w:val="24"/>
        </w:rPr>
      </w:pPr>
      <w:r>
        <w:rPr>
          <w:rFonts w:ascii="宋体" w:hAnsi="宋体"/>
          <w:sz w:val="24"/>
          <w:szCs w:val="24"/>
        </w:rPr>
        <w:t>26.1</w:t>
      </w:r>
      <w:r>
        <w:rPr>
          <w:rFonts w:hint="eastAsia" w:ascii="宋体" w:hAnsi="宋体"/>
          <w:sz w:val="24"/>
          <w:szCs w:val="24"/>
        </w:rPr>
        <w:t>评标委员会或评标小组（以下简称评标委员会）由招标采购单位依法组建。</w:t>
      </w:r>
    </w:p>
    <w:p w14:paraId="5C8CE287">
      <w:pPr>
        <w:pStyle w:val="44"/>
        <w:spacing w:after="0" w:line="400" w:lineRule="exact"/>
        <w:ind w:left="0" w:leftChars="0"/>
        <w:rPr>
          <w:rFonts w:ascii="宋体" w:hAnsi="宋体"/>
          <w:sz w:val="24"/>
          <w:szCs w:val="24"/>
        </w:rPr>
      </w:pPr>
      <w:r>
        <w:rPr>
          <w:rFonts w:ascii="宋体" w:hAnsi="宋体"/>
          <w:sz w:val="24"/>
          <w:szCs w:val="24"/>
        </w:rPr>
        <w:t>26.2</w:t>
      </w:r>
      <w:r>
        <w:rPr>
          <w:rFonts w:hint="eastAsia" w:ascii="宋体" w:hAnsi="宋体"/>
          <w:sz w:val="24"/>
          <w:szCs w:val="24"/>
        </w:rPr>
        <w:t>评标委员会负责具体的评标事务，并独立履行以下职责：</w:t>
      </w:r>
    </w:p>
    <w:p w14:paraId="0858EE8B">
      <w:pPr>
        <w:pStyle w:val="44"/>
        <w:spacing w:after="0" w:line="400" w:lineRule="exact"/>
        <w:ind w:left="0" w:leftChars="0"/>
        <w:rPr>
          <w:rFonts w:ascii="宋体" w:hAnsi="宋体"/>
          <w:sz w:val="24"/>
          <w:szCs w:val="24"/>
        </w:rPr>
      </w:pPr>
      <w:r>
        <w:rPr>
          <w:rFonts w:ascii="宋体" w:hAnsi="宋体"/>
          <w:sz w:val="24"/>
          <w:szCs w:val="24"/>
        </w:rPr>
        <w:t>26.2.1</w:t>
      </w:r>
      <w:r>
        <w:rPr>
          <w:rFonts w:hint="eastAsia" w:ascii="宋体" w:hAnsi="宋体"/>
          <w:sz w:val="24"/>
          <w:szCs w:val="24"/>
        </w:rPr>
        <w:t>审查投标文件是否符合招标文件的要求，并作出评价；</w:t>
      </w:r>
    </w:p>
    <w:p w14:paraId="40BAC2A0">
      <w:pPr>
        <w:pStyle w:val="44"/>
        <w:spacing w:after="0" w:line="400" w:lineRule="exact"/>
        <w:ind w:left="0" w:leftChars="0"/>
        <w:rPr>
          <w:rFonts w:ascii="宋体" w:hAnsi="宋体"/>
          <w:sz w:val="24"/>
          <w:szCs w:val="24"/>
        </w:rPr>
      </w:pPr>
      <w:r>
        <w:rPr>
          <w:rFonts w:ascii="宋体" w:hAnsi="宋体"/>
          <w:sz w:val="24"/>
          <w:szCs w:val="24"/>
        </w:rPr>
        <w:t>26.2.2</w:t>
      </w:r>
      <w:r>
        <w:rPr>
          <w:rFonts w:hint="eastAsia" w:ascii="宋体" w:hAnsi="宋体"/>
          <w:sz w:val="24"/>
          <w:szCs w:val="24"/>
        </w:rPr>
        <w:t>可以要求投标人对投标文件有关事项作出解释或澄清；</w:t>
      </w:r>
    </w:p>
    <w:p w14:paraId="5A4B0640">
      <w:pPr>
        <w:pStyle w:val="44"/>
        <w:spacing w:after="0" w:line="400" w:lineRule="exact"/>
        <w:ind w:left="0" w:leftChars="0"/>
        <w:rPr>
          <w:rFonts w:ascii="宋体" w:hAnsi="宋体"/>
          <w:sz w:val="24"/>
          <w:szCs w:val="24"/>
        </w:rPr>
      </w:pPr>
      <w:r>
        <w:rPr>
          <w:rFonts w:ascii="宋体" w:hAnsi="宋体"/>
          <w:sz w:val="24"/>
          <w:szCs w:val="24"/>
        </w:rPr>
        <w:t>26.2.3</w:t>
      </w:r>
      <w:r>
        <w:rPr>
          <w:rFonts w:hint="eastAsia" w:ascii="宋体" w:hAnsi="宋体"/>
          <w:sz w:val="24"/>
          <w:szCs w:val="24"/>
        </w:rPr>
        <w:t>推荐中标候选单位名单，或者受招标采购单位委托按照事先确定的办法直接确定中标单位；</w:t>
      </w:r>
    </w:p>
    <w:p w14:paraId="56671088">
      <w:pPr>
        <w:pStyle w:val="44"/>
        <w:spacing w:after="0" w:line="400" w:lineRule="exact"/>
        <w:ind w:left="0" w:leftChars="0"/>
        <w:rPr>
          <w:rFonts w:ascii="宋体" w:hAnsi="宋体"/>
          <w:sz w:val="24"/>
          <w:szCs w:val="24"/>
        </w:rPr>
      </w:pPr>
      <w:r>
        <w:rPr>
          <w:rFonts w:ascii="宋体" w:hAnsi="宋体"/>
          <w:sz w:val="24"/>
          <w:szCs w:val="24"/>
        </w:rPr>
        <w:t>26.2.4</w:t>
      </w:r>
      <w:r>
        <w:rPr>
          <w:rFonts w:hint="eastAsia" w:ascii="宋体" w:hAnsi="宋体"/>
          <w:sz w:val="24"/>
          <w:szCs w:val="24"/>
        </w:rPr>
        <w:t>向招标委托单位或者有关部门报告非法干预评标工作的行为。</w:t>
      </w:r>
    </w:p>
    <w:p w14:paraId="666199E1">
      <w:pPr>
        <w:pStyle w:val="44"/>
        <w:spacing w:after="0" w:line="400" w:lineRule="exact"/>
        <w:ind w:left="0" w:leftChars="0"/>
        <w:rPr>
          <w:rFonts w:ascii="宋体" w:hAnsi="宋体"/>
          <w:sz w:val="24"/>
          <w:szCs w:val="24"/>
        </w:rPr>
      </w:pPr>
      <w:r>
        <w:rPr>
          <w:rFonts w:ascii="宋体" w:hAnsi="宋体"/>
          <w:sz w:val="24"/>
          <w:szCs w:val="24"/>
        </w:rPr>
        <w:t>26.3</w:t>
      </w:r>
      <w:r>
        <w:rPr>
          <w:rFonts w:hint="eastAsia" w:ascii="宋体" w:hAnsi="宋体"/>
          <w:sz w:val="24"/>
          <w:szCs w:val="24"/>
        </w:rPr>
        <w:t>评标委员会成员应当履行下列义务：</w:t>
      </w:r>
    </w:p>
    <w:p w14:paraId="3D90A042">
      <w:pPr>
        <w:pStyle w:val="44"/>
        <w:spacing w:after="0" w:line="400" w:lineRule="exact"/>
        <w:ind w:left="0" w:leftChars="0"/>
        <w:rPr>
          <w:rFonts w:ascii="宋体" w:hAnsi="宋体"/>
          <w:sz w:val="24"/>
          <w:szCs w:val="24"/>
        </w:rPr>
      </w:pPr>
      <w:r>
        <w:rPr>
          <w:rFonts w:ascii="宋体" w:hAnsi="宋体"/>
          <w:sz w:val="24"/>
          <w:szCs w:val="24"/>
        </w:rPr>
        <w:t>26.3.1</w:t>
      </w:r>
      <w:r>
        <w:rPr>
          <w:rFonts w:hint="eastAsia" w:ascii="宋体" w:hAnsi="宋体"/>
          <w:sz w:val="24"/>
          <w:szCs w:val="24"/>
        </w:rPr>
        <w:t>遵纪守法，客观、公正、廉洁地履行职责；</w:t>
      </w:r>
    </w:p>
    <w:p w14:paraId="03572AD2">
      <w:pPr>
        <w:pStyle w:val="44"/>
        <w:spacing w:after="0" w:line="400" w:lineRule="exact"/>
        <w:ind w:left="0" w:leftChars="0"/>
        <w:rPr>
          <w:rFonts w:ascii="宋体" w:hAnsi="宋体"/>
          <w:sz w:val="24"/>
          <w:szCs w:val="24"/>
        </w:rPr>
      </w:pPr>
      <w:r>
        <w:rPr>
          <w:rFonts w:ascii="宋体" w:hAnsi="宋体"/>
          <w:sz w:val="24"/>
          <w:szCs w:val="24"/>
        </w:rPr>
        <w:t>26.3.2</w:t>
      </w:r>
      <w:r>
        <w:rPr>
          <w:rFonts w:hint="eastAsia" w:ascii="宋体" w:hAnsi="宋体"/>
          <w:sz w:val="24"/>
          <w:szCs w:val="24"/>
        </w:rPr>
        <w:t>按照招标文件规定的评标办法和评标标准进行评标，对评审意见承担个人责任；</w:t>
      </w:r>
    </w:p>
    <w:p w14:paraId="64CBA2FE">
      <w:pPr>
        <w:pStyle w:val="44"/>
        <w:spacing w:after="0" w:line="400" w:lineRule="exact"/>
        <w:ind w:left="0" w:leftChars="0"/>
        <w:rPr>
          <w:rFonts w:ascii="宋体" w:hAnsi="宋体"/>
          <w:sz w:val="24"/>
          <w:szCs w:val="24"/>
        </w:rPr>
      </w:pPr>
      <w:r>
        <w:rPr>
          <w:rFonts w:ascii="宋体" w:hAnsi="宋体"/>
          <w:sz w:val="24"/>
          <w:szCs w:val="24"/>
        </w:rPr>
        <w:t>26.3.3</w:t>
      </w:r>
      <w:r>
        <w:rPr>
          <w:rFonts w:hint="eastAsia" w:ascii="宋体" w:hAnsi="宋体"/>
          <w:sz w:val="24"/>
          <w:szCs w:val="24"/>
        </w:rPr>
        <w:t>对评标过程和结果，以及投标人的商业秘密保密；</w:t>
      </w:r>
    </w:p>
    <w:p w14:paraId="028F9B87">
      <w:pPr>
        <w:pStyle w:val="44"/>
        <w:spacing w:after="0" w:line="400" w:lineRule="exact"/>
        <w:ind w:left="0" w:leftChars="0"/>
        <w:rPr>
          <w:rFonts w:ascii="宋体" w:hAnsi="宋体"/>
          <w:sz w:val="24"/>
          <w:szCs w:val="24"/>
        </w:rPr>
      </w:pPr>
      <w:r>
        <w:rPr>
          <w:rFonts w:ascii="宋体" w:hAnsi="宋体"/>
          <w:sz w:val="24"/>
          <w:szCs w:val="24"/>
        </w:rPr>
        <w:t>26.3.4</w:t>
      </w:r>
      <w:r>
        <w:rPr>
          <w:rFonts w:hint="eastAsia" w:ascii="宋体" w:hAnsi="宋体"/>
          <w:sz w:val="24"/>
          <w:szCs w:val="24"/>
        </w:rPr>
        <w:t>参与评标报告的起草；</w:t>
      </w:r>
    </w:p>
    <w:p w14:paraId="5BE5A189">
      <w:pPr>
        <w:pStyle w:val="44"/>
        <w:spacing w:after="0" w:line="400" w:lineRule="exact"/>
        <w:ind w:left="0" w:leftChars="0"/>
        <w:rPr>
          <w:rFonts w:ascii="宋体" w:hAnsi="宋体"/>
          <w:sz w:val="24"/>
          <w:szCs w:val="24"/>
        </w:rPr>
      </w:pPr>
      <w:r>
        <w:rPr>
          <w:rFonts w:ascii="宋体" w:hAnsi="宋体"/>
          <w:sz w:val="24"/>
          <w:szCs w:val="24"/>
        </w:rPr>
        <w:t>26.3.5</w:t>
      </w:r>
      <w:r>
        <w:rPr>
          <w:rFonts w:hint="eastAsia" w:ascii="宋体" w:hAnsi="宋体"/>
          <w:sz w:val="24"/>
          <w:szCs w:val="24"/>
        </w:rPr>
        <w:t>配合招标采购单位答复投标人提出的质疑，配合采购单位上级主管部门处理供应商的投诉等事宜；</w:t>
      </w:r>
    </w:p>
    <w:p w14:paraId="69519956">
      <w:pPr>
        <w:pStyle w:val="44"/>
        <w:spacing w:after="0" w:line="400" w:lineRule="exact"/>
        <w:ind w:left="0" w:leftChars="0"/>
        <w:rPr>
          <w:rFonts w:ascii="宋体" w:hAnsi="宋体"/>
          <w:sz w:val="24"/>
          <w:szCs w:val="24"/>
        </w:rPr>
      </w:pPr>
      <w:r>
        <w:rPr>
          <w:rFonts w:ascii="宋体" w:hAnsi="宋体"/>
          <w:sz w:val="24"/>
          <w:szCs w:val="24"/>
        </w:rPr>
        <w:t>26.3.6</w:t>
      </w:r>
      <w:r>
        <w:rPr>
          <w:rFonts w:hint="eastAsia" w:ascii="宋体" w:hAnsi="宋体"/>
          <w:sz w:val="24"/>
          <w:szCs w:val="24"/>
        </w:rPr>
        <w:t>法律、法规规定的其他义务。</w:t>
      </w:r>
    </w:p>
    <w:p w14:paraId="1A6356B5">
      <w:pPr>
        <w:spacing w:line="400" w:lineRule="exact"/>
        <w:outlineLvl w:val="0"/>
        <w:rPr>
          <w:rFonts w:ascii="宋体" w:hAnsi="宋体"/>
          <w:b/>
          <w:szCs w:val="24"/>
        </w:rPr>
      </w:pPr>
      <w:r>
        <w:rPr>
          <w:rFonts w:ascii="宋体" w:hAnsi="宋体"/>
          <w:b/>
          <w:szCs w:val="24"/>
        </w:rPr>
        <w:t>27</w:t>
      </w:r>
      <w:r>
        <w:rPr>
          <w:rFonts w:hint="eastAsia" w:ascii="宋体" w:hAnsi="宋体"/>
          <w:b/>
          <w:szCs w:val="24"/>
        </w:rPr>
        <w:t>．评标内容的保密</w:t>
      </w:r>
    </w:p>
    <w:p w14:paraId="4927BAEC">
      <w:pPr>
        <w:pStyle w:val="44"/>
        <w:spacing w:after="0" w:line="400" w:lineRule="exact"/>
        <w:ind w:left="0" w:leftChars="0"/>
        <w:rPr>
          <w:rFonts w:ascii="宋体" w:hAnsi="宋体"/>
          <w:sz w:val="24"/>
          <w:szCs w:val="24"/>
        </w:rPr>
      </w:pPr>
      <w:r>
        <w:rPr>
          <w:rFonts w:ascii="宋体" w:hAnsi="宋体"/>
          <w:sz w:val="24"/>
          <w:szCs w:val="24"/>
        </w:rPr>
        <w:t>27.1</w:t>
      </w:r>
      <w:r>
        <w:rPr>
          <w:rFonts w:hint="eastAsia" w:ascii="宋体" w:hAnsi="宋体"/>
          <w:sz w:val="24"/>
          <w:szCs w:val="24"/>
        </w:rPr>
        <w:t>公开开标后，直到宣布授予中标供应商合同为止，凡属于审查、澄清、评价和比较投标的所有资料，有关授予合同的信息都不应向投标人或与评标无关的其他人泄露。</w:t>
      </w:r>
    </w:p>
    <w:p w14:paraId="2D8B0F2A">
      <w:pPr>
        <w:pStyle w:val="44"/>
        <w:spacing w:after="0" w:line="400" w:lineRule="exact"/>
        <w:ind w:left="0" w:leftChars="0"/>
        <w:rPr>
          <w:rFonts w:ascii="宋体" w:hAnsi="宋体"/>
          <w:sz w:val="24"/>
          <w:szCs w:val="24"/>
        </w:rPr>
      </w:pPr>
      <w:r>
        <w:rPr>
          <w:rFonts w:ascii="宋体" w:hAnsi="宋体"/>
          <w:sz w:val="24"/>
          <w:szCs w:val="24"/>
        </w:rPr>
        <w:t>27.2</w:t>
      </w:r>
      <w:r>
        <w:rPr>
          <w:rFonts w:hint="eastAsia" w:ascii="宋体" w:hAnsi="宋体"/>
          <w:sz w:val="24"/>
          <w:szCs w:val="24"/>
        </w:rPr>
        <w:t>在投标文件的审查、澄清、评价和比较以及授予合同的过程中，投标人对招标代理机构和评标委员会成员施加影响的任何行为，都将取消其中标资格。</w:t>
      </w:r>
    </w:p>
    <w:p w14:paraId="01416A79">
      <w:pPr>
        <w:pStyle w:val="44"/>
        <w:spacing w:after="0" w:line="400" w:lineRule="exact"/>
        <w:ind w:left="0" w:leftChars="0"/>
        <w:rPr>
          <w:rFonts w:ascii="宋体" w:hAnsi="宋体"/>
          <w:sz w:val="24"/>
          <w:szCs w:val="24"/>
        </w:rPr>
      </w:pPr>
      <w:r>
        <w:rPr>
          <w:rFonts w:ascii="宋体" w:hAnsi="宋体"/>
          <w:sz w:val="24"/>
          <w:szCs w:val="24"/>
        </w:rPr>
        <w:t>27.3</w:t>
      </w:r>
      <w:r>
        <w:rPr>
          <w:rFonts w:hint="eastAsia" w:ascii="宋体" w:hAnsi="宋体"/>
          <w:sz w:val="24"/>
          <w:szCs w:val="24"/>
        </w:rPr>
        <w:t>在评标期间，招标代理机构将通过指定联络人与投标人进行联系。</w:t>
      </w:r>
    </w:p>
    <w:p w14:paraId="61F8612F">
      <w:pPr>
        <w:spacing w:line="400" w:lineRule="exact"/>
        <w:outlineLvl w:val="0"/>
        <w:rPr>
          <w:rFonts w:ascii="宋体" w:hAnsi="宋体"/>
          <w:b/>
          <w:szCs w:val="24"/>
        </w:rPr>
      </w:pPr>
      <w:r>
        <w:rPr>
          <w:rFonts w:ascii="宋体" w:hAnsi="宋体"/>
          <w:b/>
          <w:szCs w:val="24"/>
        </w:rPr>
        <w:t>28</w:t>
      </w:r>
      <w:r>
        <w:rPr>
          <w:rFonts w:hint="eastAsia" w:ascii="宋体" w:hAnsi="宋体"/>
          <w:b/>
          <w:szCs w:val="24"/>
        </w:rPr>
        <w:t>．对投标文件初审</w:t>
      </w:r>
    </w:p>
    <w:p w14:paraId="70711FA7">
      <w:pPr>
        <w:pStyle w:val="44"/>
        <w:spacing w:after="0" w:line="400" w:lineRule="exact"/>
        <w:ind w:left="0" w:leftChars="0"/>
        <w:rPr>
          <w:rFonts w:ascii="宋体" w:hAnsi="宋体"/>
          <w:sz w:val="24"/>
          <w:szCs w:val="24"/>
        </w:rPr>
      </w:pPr>
      <w:r>
        <w:rPr>
          <w:rFonts w:hint="eastAsia" w:ascii="宋体" w:hAnsi="宋体"/>
          <w:sz w:val="24"/>
          <w:szCs w:val="24"/>
        </w:rPr>
        <w:t>28.1投标文件初审分为资格性检查和符合性检查。</w:t>
      </w:r>
    </w:p>
    <w:p w14:paraId="7177E6EA">
      <w:pPr>
        <w:pStyle w:val="44"/>
        <w:spacing w:after="0" w:line="400" w:lineRule="exact"/>
        <w:ind w:left="0" w:leftChars="0"/>
        <w:rPr>
          <w:rFonts w:ascii="宋体" w:hAnsi="宋体"/>
          <w:sz w:val="24"/>
          <w:szCs w:val="24"/>
        </w:rPr>
      </w:pPr>
      <w:r>
        <w:rPr>
          <w:rFonts w:hint="eastAsia" w:ascii="宋体" w:hAnsi="宋体"/>
          <w:sz w:val="24"/>
          <w:szCs w:val="24"/>
        </w:rPr>
        <w:t>28.1.1资格性检查。依据法律法规和招标文件的规定，对投标文件中的资格证明、投标保证金等进行审查，以确定投标供应商是否具备投标资格。</w:t>
      </w:r>
    </w:p>
    <w:p w14:paraId="12330DD9">
      <w:pPr>
        <w:pStyle w:val="44"/>
        <w:spacing w:after="0" w:line="400" w:lineRule="exact"/>
        <w:ind w:left="0" w:leftChars="0"/>
        <w:rPr>
          <w:rFonts w:ascii="宋体" w:hAnsi="宋体"/>
          <w:sz w:val="24"/>
          <w:szCs w:val="24"/>
        </w:rPr>
      </w:pPr>
      <w:r>
        <w:rPr>
          <w:rFonts w:hint="eastAsia" w:ascii="宋体" w:hAnsi="宋体"/>
          <w:sz w:val="24"/>
          <w:szCs w:val="24"/>
        </w:rPr>
        <w:t>28.1.2符合性检查。依据招标文件的规定，从投标文件的有效性、完整性和对招标文件的响应程度进行审查，以确定是否对招标文件的实质性要求作出响应。</w:t>
      </w:r>
    </w:p>
    <w:p w14:paraId="54C682E8">
      <w:pPr>
        <w:pStyle w:val="44"/>
        <w:spacing w:after="0" w:line="400" w:lineRule="exact"/>
        <w:ind w:left="0" w:leftChars="0"/>
        <w:rPr>
          <w:rFonts w:ascii="宋体" w:hAnsi="宋体"/>
          <w:sz w:val="24"/>
          <w:szCs w:val="24"/>
        </w:rPr>
      </w:pPr>
      <w:r>
        <w:rPr>
          <w:rFonts w:ascii="宋体" w:hAnsi="宋体"/>
          <w:sz w:val="24"/>
          <w:szCs w:val="24"/>
        </w:rPr>
        <w:t>28.2</w:t>
      </w:r>
      <w:r>
        <w:rPr>
          <w:rFonts w:hint="eastAsia" w:ascii="宋体" w:hAnsi="宋体"/>
          <w:sz w:val="24"/>
          <w:szCs w:val="24"/>
        </w:rPr>
        <w:t>开标后，评标委员会将审查投标文件是否实质性响应招标文件的要求、内容是否完整、价格构成有无计算错误、文件签署是否齐全等，投标文件有下列情况之一者将按无效标处理。</w:t>
      </w:r>
    </w:p>
    <w:p w14:paraId="09BE3BB1">
      <w:pPr>
        <w:pStyle w:val="44"/>
        <w:spacing w:after="0" w:line="400" w:lineRule="exact"/>
        <w:ind w:left="0" w:leftChars="0"/>
        <w:rPr>
          <w:rFonts w:ascii="宋体" w:hAnsi="宋体"/>
          <w:sz w:val="24"/>
          <w:szCs w:val="24"/>
        </w:rPr>
      </w:pPr>
      <w:r>
        <w:rPr>
          <w:rFonts w:ascii="宋体" w:hAnsi="宋体"/>
          <w:sz w:val="24"/>
          <w:szCs w:val="24"/>
        </w:rPr>
        <w:t>28.2.1</w:t>
      </w:r>
      <w:r>
        <w:rPr>
          <w:rFonts w:hint="eastAsia" w:ascii="宋体" w:hAnsi="宋体"/>
          <w:sz w:val="24"/>
          <w:szCs w:val="24"/>
        </w:rPr>
        <w:t>应交未交投标保证金的；</w:t>
      </w:r>
    </w:p>
    <w:p w14:paraId="4E3C96AF">
      <w:pPr>
        <w:pStyle w:val="44"/>
        <w:spacing w:after="0" w:line="400" w:lineRule="exact"/>
        <w:ind w:left="0" w:leftChars="0"/>
        <w:rPr>
          <w:rFonts w:ascii="宋体" w:hAnsi="宋体"/>
          <w:sz w:val="24"/>
          <w:szCs w:val="24"/>
        </w:rPr>
      </w:pPr>
      <w:r>
        <w:rPr>
          <w:rFonts w:ascii="宋体" w:hAnsi="宋体"/>
          <w:sz w:val="24"/>
          <w:szCs w:val="24"/>
        </w:rPr>
        <w:t>28.2.2</w:t>
      </w:r>
      <w:r>
        <w:rPr>
          <w:rFonts w:hint="eastAsia" w:ascii="宋体" w:hAnsi="宋体"/>
          <w:sz w:val="24"/>
          <w:szCs w:val="24"/>
        </w:rPr>
        <w:t>投标文件未按照本须知规定签署和盖章；</w:t>
      </w:r>
    </w:p>
    <w:p w14:paraId="48ED8E9E">
      <w:pPr>
        <w:pStyle w:val="44"/>
        <w:spacing w:after="0" w:line="400" w:lineRule="exact"/>
        <w:ind w:left="0" w:leftChars="0"/>
        <w:rPr>
          <w:rFonts w:ascii="宋体" w:hAnsi="宋体"/>
          <w:sz w:val="24"/>
          <w:szCs w:val="24"/>
        </w:rPr>
      </w:pPr>
      <w:r>
        <w:rPr>
          <w:rFonts w:ascii="宋体" w:hAnsi="宋体"/>
          <w:sz w:val="24"/>
          <w:szCs w:val="24"/>
        </w:rPr>
        <w:t>28.2.3</w:t>
      </w:r>
      <w:r>
        <w:rPr>
          <w:rFonts w:hint="eastAsia" w:ascii="宋体" w:hAnsi="宋体"/>
          <w:sz w:val="24"/>
          <w:szCs w:val="24"/>
        </w:rPr>
        <w:t>未按本须知规定提交资格文件；</w:t>
      </w:r>
    </w:p>
    <w:p w14:paraId="583B6872">
      <w:pPr>
        <w:pStyle w:val="44"/>
        <w:spacing w:after="0" w:line="400" w:lineRule="exact"/>
        <w:ind w:left="0" w:leftChars="0"/>
        <w:rPr>
          <w:rFonts w:ascii="宋体" w:hAnsi="宋体"/>
          <w:sz w:val="24"/>
          <w:szCs w:val="24"/>
        </w:rPr>
      </w:pPr>
      <w:r>
        <w:rPr>
          <w:rFonts w:ascii="宋体" w:hAnsi="宋体"/>
          <w:sz w:val="24"/>
          <w:szCs w:val="24"/>
        </w:rPr>
        <w:t>28.2.4</w:t>
      </w:r>
      <w:r>
        <w:rPr>
          <w:rFonts w:hint="eastAsia" w:ascii="宋体" w:hAnsi="宋体"/>
          <w:sz w:val="24"/>
          <w:szCs w:val="24"/>
        </w:rPr>
        <w:t>与招标文件有重大偏离；</w:t>
      </w:r>
    </w:p>
    <w:p w14:paraId="288A631A">
      <w:pPr>
        <w:pStyle w:val="44"/>
        <w:spacing w:after="0" w:line="400" w:lineRule="exact"/>
        <w:ind w:left="0" w:leftChars="0"/>
        <w:rPr>
          <w:rFonts w:ascii="宋体" w:hAnsi="宋体"/>
          <w:sz w:val="24"/>
          <w:szCs w:val="24"/>
        </w:rPr>
      </w:pPr>
      <w:r>
        <w:rPr>
          <w:rFonts w:ascii="宋体" w:hAnsi="宋体"/>
          <w:sz w:val="24"/>
          <w:szCs w:val="24"/>
        </w:rPr>
        <w:t>28.2.5</w:t>
      </w:r>
      <w:r>
        <w:rPr>
          <w:rFonts w:hint="eastAsia" w:ascii="宋体" w:hAnsi="宋体"/>
          <w:sz w:val="24"/>
          <w:szCs w:val="24"/>
        </w:rPr>
        <w:t>投标人拒绝修正错误；</w:t>
      </w:r>
    </w:p>
    <w:p w14:paraId="3B4111EE">
      <w:pPr>
        <w:pStyle w:val="44"/>
        <w:spacing w:after="0" w:line="400" w:lineRule="exact"/>
        <w:ind w:left="0" w:leftChars="0"/>
        <w:rPr>
          <w:rFonts w:ascii="宋体" w:hAnsi="宋体"/>
          <w:sz w:val="24"/>
          <w:szCs w:val="24"/>
        </w:rPr>
      </w:pPr>
      <w:r>
        <w:rPr>
          <w:rFonts w:ascii="宋体" w:hAnsi="宋体"/>
          <w:sz w:val="24"/>
          <w:szCs w:val="24"/>
        </w:rPr>
        <w:t>28.2.6</w:t>
      </w:r>
      <w:r>
        <w:rPr>
          <w:rFonts w:hint="eastAsia" w:ascii="宋体" w:hAnsi="宋体"/>
          <w:sz w:val="24"/>
          <w:szCs w:val="24"/>
        </w:rPr>
        <w:t>投标人的报价是选择性的；</w:t>
      </w:r>
    </w:p>
    <w:p w14:paraId="45ADF847">
      <w:pPr>
        <w:pStyle w:val="44"/>
        <w:spacing w:after="0" w:line="400" w:lineRule="exact"/>
        <w:ind w:left="0" w:leftChars="0"/>
        <w:rPr>
          <w:rFonts w:ascii="宋体" w:hAnsi="宋体"/>
          <w:sz w:val="24"/>
          <w:szCs w:val="24"/>
        </w:rPr>
      </w:pPr>
      <w:r>
        <w:rPr>
          <w:rFonts w:ascii="宋体" w:hAnsi="宋体"/>
          <w:sz w:val="24"/>
          <w:szCs w:val="24"/>
        </w:rPr>
        <w:t>28.2.7</w:t>
      </w:r>
      <w:r>
        <w:rPr>
          <w:rFonts w:hint="eastAsia" w:ascii="宋体" w:hAnsi="宋体"/>
          <w:sz w:val="24"/>
          <w:szCs w:val="24"/>
        </w:rPr>
        <w:t>投标人的报价只投了部分内容；</w:t>
      </w:r>
    </w:p>
    <w:p w14:paraId="2D41E6D9">
      <w:pPr>
        <w:pStyle w:val="44"/>
        <w:spacing w:after="0" w:line="400" w:lineRule="exact"/>
        <w:ind w:left="0" w:leftChars="0"/>
        <w:rPr>
          <w:rFonts w:ascii="宋体" w:hAnsi="宋体"/>
          <w:sz w:val="24"/>
          <w:szCs w:val="24"/>
        </w:rPr>
      </w:pPr>
      <w:r>
        <w:rPr>
          <w:rFonts w:ascii="宋体" w:hAnsi="宋体"/>
          <w:sz w:val="24"/>
          <w:szCs w:val="24"/>
        </w:rPr>
        <w:t>28.2.8</w:t>
      </w:r>
      <w:r>
        <w:rPr>
          <w:rFonts w:hint="eastAsia" w:ascii="宋体" w:hAnsi="宋体"/>
          <w:sz w:val="24"/>
          <w:szCs w:val="24"/>
        </w:rPr>
        <w:t>其他被评标委员会认定无效的情况。</w:t>
      </w:r>
    </w:p>
    <w:p w14:paraId="6C60A2C8">
      <w:pPr>
        <w:pStyle w:val="44"/>
        <w:spacing w:after="0" w:line="400" w:lineRule="exact"/>
        <w:ind w:left="0" w:leftChars="0"/>
        <w:rPr>
          <w:rFonts w:ascii="宋体" w:hAnsi="宋体"/>
          <w:sz w:val="24"/>
          <w:szCs w:val="24"/>
        </w:rPr>
      </w:pPr>
      <w:r>
        <w:rPr>
          <w:rFonts w:hint="eastAsia" w:ascii="宋体" w:hAnsi="宋体"/>
          <w:sz w:val="24"/>
          <w:szCs w:val="24"/>
        </w:rPr>
        <w:t>注：实质上响应的投标应该是与招标文件的全部条款、条件和规格相符，没有重大偏离或保留。所谓重大偏离或保留是指影响合同的服务范围、质量和性能等；或者在实质上与招标文件不一致〔如产品的质量、数量及服务期限等明显不能满足招标文件的要求〕，而且限制了合同中买方的权利或投标人的义务。这些偏离或保留将会对其他实质上响应要求的投标人的竞争地位产生不公正的影响。</w:t>
      </w:r>
    </w:p>
    <w:p w14:paraId="20D51D93">
      <w:pPr>
        <w:pStyle w:val="44"/>
        <w:spacing w:after="0" w:line="400" w:lineRule="exact"/>
        <w:ind w:left="0" w:leftChars="0"/>
        <w:rPr>
          <w:rFonts w:ascii="宋体" w:hAnsi="宋体"/>
          <w:sz w:val="24"/>
          <w:szCs w:val="24"/>
        </w:rPr>
      </w:pPr>
      <w:r>
        <w:rPr>
          <w:rFonts w:ascii="宋体" w:hAnsi="宋体"/>
          <w:sz w:val="24"/>
          <w:szCs w:val="24"/>
        </w:rPr>
        <w:t>28.3</w:t>
      </w:r>
      <w:r>
        <w:rPr>
          <w:rFonts w:hint="eastAsia" w:ascii="宋体" w:hAnsi="宋体"/>
          <w:sz w:val="24"/>
          <w:szCs w:val="24"/>
        </w:rPr>
        <w:t>评标委员会将对确定为实质上响应的投标进行审核，看其是否有计算上或累加上的算术错误，修正错误的原则如下：</w:t>
      </w:r>
    </w:p>
    <w:p w14:paraId="5D537637">
      <w:pPr>
        <w:pStyle w:val="44"/>
        <w:spacing w:after="0" w:line="400" w:lineRule="exact"/>
        <w:ind w:left="0" w:leftChars="0"/>
        <w:rPr>
          <w:rFonts w:ascii="宋体" w:hAnsi="宋体"/>
          <w:sz w:val="24"/>
          <w:szCs w:val="24"/>
        </w:rPr>
      </w:pPr>
      <w:r>
        <w:rPr>
          <w:rFonts w:ascii="宋体" w:hAnsi="宋体"/>
          <w:sz w:val="24"/>
          <w:szCs w:val="24"/>
        </w:rPr>
        <w:t>28.3.1</w:t>
      </w:r>
      <w:r>
        <w:rPr>
          <w:rFonts w:hint="eastAsia" w:ascii="宋体" w:hAnsi="宋体"/>
          <w:sz w:val="24"/>
          <w:szCs w:val="24"/>
        </w:rPr>
        <w:t>开标时，投标文件中开标一览表内容与投标文件中明细内容不一致时的，以开标一览表为准；</w:t>
      </w:r>
    </w:p>
    <w:p w14:paraId="3EAD75BA">
      <w:pPr>
        <w:pStyle w:val="44"/>
        <w:spacing w:after="0" w:line="400" w:lineRule="exact"/>
        <w:ind w:left="0" w:leftChars="0"/>
        <w:rPr>
          <w:rFonts w:ascii="宋体" w:hAnsi="宋体"/>
          <w:sz w:val="24"/>
          <w:szCs w:val="24"/>
        </w:rPr>
      </w:pPr>
      <w:r>
        <w:rPr>
          <w:rFonts w:ascii="宋体" w:hAnsi="宋体"/>
          <w:sz w:val="24"/>
          <w:szCs w:val="24"/>
        </w:rPr>
        <w:t>28.3.2</w:t>
      </w:r>
      <w:r>
        <w:rPr>
          <w:rFonts w:hint="eastAsia" w:ascii="宋体" w:hAnsi="宋体"/>
          <w:sz w:val="24"/>
          <w:szCs w:val="24"/>
        </w:rPr>
        <w:t>投标文件的大写金额与小写金额不一致的，以大写金额为准；总价金额与按单价汇总金额不一致的，以单价金额计算结果为准；单价金额小数点有明显错位的，应以总价为准，并修改单价；数量不符合招标文件要求的作为未实质性响应招标文件处理，该投标文件将不予以详细评审，也不得标；</w:t>
      </w:r>
    </w:p>
    <w:p w14:paraId="6094C7E6">
      <w:pPr>
        <w:pStyle w:val="44"/>
        <w:spacing w:after="0" w:line="400" w:lineRule="exact"/>
        <w:ind w:left="0" w:leftChars="0"/>
        <w:rPr>
          <w:rFonts w:ascii="宋体" w:hAnsi="宋体"/>
          <w:sz w:val="24"/>
          <w:szCs w:val="24"/>
        </w:rPr>
      </w:pPr>
      <w:r>
        <w:rPr>
          <w:rFonts w:ascii="宋体" w:hAnsi="宋体"/>
          <w:sz w:val="24"/>
          <w:szCs w:val="24"/>
        </w:rPr>
        <w:t>28.3.3</w:t>
      </w:r>
      <w:r>
        <w:rPr>
          <w:rFonts w:hint="eastAsia" w:ascii="宋体" w:hAnsi="宋体"/>
          <w:sz w:val="24"/>
          <w:szCs w:val="24"/>
        </w:rPr>
        <w:t>对不同文字文本投标文件的解释发生异议的，以中文文本为准；</w:t>
      </w:r>
    </w:p>
    <w:p w14:paraId="6603E39E">
      <w:pPr>
        <w:pStyle w:val="44"/>
        <w:spacing w:after="0" w:line="400" w:lineRule="exact"/>
        <w:ind w:left="0" w:leftChars="0"/>
        <w:rPr>
          <w:rFonts w:ascii="宋体" w:hAnsi="宋体"/>
          <w:sz w:val="24"/>
          <w:szCs w:val="24"/>
        </w:rPr>
      </w:pPr>
      <w:r>
        <w:rPr>
          <w:rFonts w:ascii="宋体" w:hAnsi="宋体"/>
          <w:sz w:val="24"/>
          <w:szCs w:val="24"/>
        </w:rPr>
        <w:t>28.3.4</w:t>
      </w:r>
      <w:r>
        <w:rPr>
          <w:rFonts w:hint="eastAsia" w:ascii="宋体" w:hAnsi="宋体"/>
          <w:sz w:val="24"/>
          <w:szCs w:val="24"/>
        </w:rPr>
        <w:t>投标人不同意以上修正，则其投标将被拒绝。</w:t>
      </w:r>
    </w:p>
    <w:p w14:paraId="12CFB4C1">
      <w:pPr>
        <w:pStyle w:val="44"/>
        <w:spacing w:after="0" w:line="400" w:lineRule="exact"/>
        <w:ind w:left="0" w:leftChars="0"/>
        <w:rPr>
          <w:rFonts w:ascii="宋体" w:hAnsi="宋体"/>
          <w:sz w:val="24"/>
          <w:szCs w:val="24"/>
        </w:rPr>
      </w:pPr>
      <w:r>
        <w:rPr>
          <w:rFonts w:ascii="宋体" w:hAnsi="宋体"/>
          <w:sz w:val="24"/>
          <w:szCs w:val="24"/>
        </w:rPr>
        <w:t>28.4</w:t>
      </w:r>
      <w:r>
        <w:rPr>
          <w:rFonts w:hint="eastAsia" w:ascii="宋体" w:hAnsi="宋体"/>
          <w:sz w:val="24"/>
          <w:szCs w:val="24"/>
        </w:rPr>
        <w:t>评标委员会对投标文件的判定，只依据投标内容本身，不依靠开标后的任何外来证明。</w:t>
      </w:r>
    </w:p>
    <w:p w14:paraId="26D8781A">
      <w:pPr>
        <w:pStyle w:val="44"/>
        <w:spacing w:after="0" w:line="400" w:lineRule="exact"/>
        <w:ind w:left="0" w:leftChars="0"/>
        <w:rPr>
          <w:rFonts w:ascii="宋体" w:hAnsi="宋体"/>
          <w:sz w:val="24"/>
          <w:szCs w:val="24"/>
        </w:rPr>
      </w:pPr>
      <w:r>
        <w:rPr>
          <w:rFonts w:ascii="宋体" w:hAnsi="宋体"/>
          <w:sz w:val="24"/>
          <w:szCs w:val="24"/>
        </w:rPr>
        <w:t>28.5</w:t>
      </w:r>
      <w:r>
        <w:rPr>
          <w:rFonts w:hint="eastAsia" w:ascii="宋体" w:hAnsi="宋体"/>
          <w:sz w:val="24"/>
          <w:szCs w:val="24"/>
        </w:rPr>
        <w:t>评标委员会将拒绝被确定为非实质性响应的投标，投标人不能通过修正或撤销不符之处而使其投标成为实质性响应的投标。</w:t>
      </w:r>
    </w:p>
    <w:p w14:paraId="7070A1A0">
      <w:pPr>
        <w:spacing w:line="400" w:lineRule="exact"/>
        <w:outlineLvl w:val="0"/>
        <w:rPr>
          <w:rFonts w:ascii="宋体" w:hAnsi="宋体"/>
          <w:b/>
          <w:szCs w:val="24"/>
        </w:rPr>
      </w:pPr>
      <w:r>
        <w:rPr>
          <w:rFonts w:ascii="宋体" w:hAnsi="宋体"/>
          <w:b/>
          <w:szCs w:val="24"/>
        </w:rPr>
        <w:t>29</w:t>
      </w:r>
      <w:r>
        <w:rPr>
          <w:rFonts w:hint="eastAsia" w:ascii="宋体" w:hAnsi="宋体"/>
          <w:b/>
          <w:szCs w:val="24"/>
        </w:rPr>
        <w:t>．投标的澄清</w:t>
      </w:r>
    </w:p>
    <w:p w14:paraId="698B68CF">
      <w:pPr>
        <w:widowControl w:val="0"/>
        <w:spacing w:line="400" w:lineRule="exact"/>
        <w:jc w:val="both"/>
        <w:rPr>
          <w:rFonts w:ascii="宋体" w:hAnsi="宋体"/>
          <w:szCs w:val="24"/>
        </w:rPr>
      </w:pPr>
      <w:r>
        <w:rPr>
          <w:rFonts w:ascii="宋体" w:hAnsi="宋体"/>
          <w:szCs w:val="24"/>
        </w:rPr>
        <w:t>29.1</w:t>
      </w:r>
      <w:r>
        <w:rPr>
          <w:rFonts w:hint="eastAsia" w:ascii="宋体" w:hAnsi="宋体"/>
          <w:szCs w:val="24"/>
        </w:rPr>
        <w:t>在投标文件中含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理人签字，并不得超出投标文件的范围或者改变投标文件的实质性内容。</w:t>
      </w:r>
    </w:p>
    <w:p w14:paraId="71160FD4">
      <w:pPr>
        <w:widowControl w:val="0"/>
        <w:spacing w:line="400" w:lineRule="exact"/>
        <w:jc w:val="both"/>
        <w:rPr>
          <w:rFonts w:ascii="宋体" w:hAnsi="宋体"/>
          <w:b/>
          <w:szCs w:val="24"/>
        </w:rPr>
      </w:pPr>
      <w:r>
        <w:rPr>
          <w:rFonts w:ascii="宋体" w:hAnsi="宋体"/>
          <w:b/>
          <w:szCs w:val="24"/>
        </w:rPr>
        <w:t>30</w:t>
      </w:r>
      <w:r>
        <w:rPr>
          <w:rFonts w:hint="eastAsia" w:ascii="宋体" w:hAnsi="宋体"/>
          <w:b/>
          <w:szCs w:val="24"/>
        </w:rPr>
        <w:t>．废标</w:t>
      </w:r>
    </w:p>
    <w:p w14:paraId="010BD962">
      <w:pPr>
        <w:pStyle w:val="44"/>
        <w:spacing w:after="0" w:line="400" w:lineRule="exact"/>
        <w:ind w:left="0" w:leftChars="0"/>
        <w:outlineLvl w:val="0"/>
        <w:rPr>
          <w:rFonts w:ascii="宋体" w:hAnsi="宋体"/>
          <w:sz w:val="24"/>
          <w:szCs w:val="24"/>
        </w:rPr>
      </w:pPr>
      <w:r>
        <w:rPr>
          <w:rFonts w:ascii="宋体" w:hAnsi="宋体"/>
          <w:sz w:val="24"/>
          <w:szCs w:val="24"/>
        </w:rPr>
        <w:t xml:space="preserve">30.1 </w:t>
      </w:r>
      <w:r>
        <w:rPr>
          <w:rFonts w:hint="eastAsia" w:ascii="宋体" w:hAnsi="宋体"/>
          <w:sz w:val="24"/>
          <w:szCs w:val="24"/>
        </w:rPr>
        <w:t>在招标过程中，出现下列情况之一的，应予废标：</w:t>
      </w:r>
    </w:p>
    <w:p w14:paraId="4FA51DEA">
      <w:pPr>
        <w:pStyle w:val="44"/>
        <w:spacing w:after="0" w:line="400" w:lineRule="exact"/>
        <w:ind w:left="0" w:leftChars="0"/>
        <w:outlineLvl w:val="0"/>
        <w:rPr>
          <w:rFonts w:ascii="宋体" w:hAnsi="宋体"/>
          <w:sz w:val="24"/>
          <w:szCs w:val="24"/>
        </w:rPr>
      </w:pPr>
      <w:r>
        <w:rPr>
          <w:rFonts w:ascii="宋体" w:hAnsi="宋体"/>
          <w:sz w:val="24"/>
          <w:szCs w:val="24"/>
        </w:rPr>
        <w:t>30.1.1</w:t>
      </w:r>
      <w:r>
        <w:rPr>
          <w:rFonts w:hint="eastAsia" w:ascii="宋体" w:hAnsi="宋体"/>
          <w:sz w:val="24"/>
          <w:szCs w:val="24"/>
        </w:rPr>
        <w:t>符合专业条件的供应商或者对招标文件作实质响应的供应商不足三家的；</w:t>
      </w:r>
    </w:p>
    <w:p w14:paraId="5B5ED212">
      <w:pPr>
        <w:pStyle w:val="44"/>
        <w:spacing w:after="0" w:line="400" w:lineRule="exact"/>
        <w:ind w:left="0" w:leftChars="0"/>
        <w:outlineLvl w:val="0"/>
        <w:rPr>
          <w:rFonts w:ascii="宋体" w:hAnsi="宋体"/>
          <w:sz w:val="24"/>
          <w:szCs w:val="24"/>
        </w:rPr>
      </w:pPr>
      <w:r>
        <w:rPr>
          <w:rFonts w:ascii="宋体" w:hAnsi="宋体"/>
          <w:sz w:val="24"/>
          <w:szCs w:val="24"/>
        </w:rPr>
        <w:t>30.1.2</w:t>
      </w:r>
      <w:r>
        <w:rPr>
          <w:rFonts w:hint="eastAsia" w:ascii="宋体" w:hAnsi="宋体"/>
          <w:sz w:val="24"/>
          <w:szCs w:val="24"/>
        </w:rPr>
        <w:t>出现影响采购公正的违法、违规行为的；</w:t>
      </w:r>
    </w:p>
    <w:p w14:paraId="328569BF">
      <w:pPr>
        <w:pStyle w:val="44"/>
        <w:spacing w:after="0" w:line="400" w:lineRule="exact"/>
        <w:ind w:left="0" w:leftChars="0"/>
        <w:outlineLvl w:val="0"/>
        <w:rPr>
          <w:rFonts w:ascii="宋体" w:hAnsi="宋体"/>
          <w:sz w:val="24"/>
          <w:szCs w:val="24"/>
        </w:rPr>
      </w:pPr>
      <w:r>
        <w:rPr>
          <w:rFonts w:ascii="宋体" w:hAnsi="宋体"/>
          <w:sz w:val="24"/>
          <w:szCs w:val="24"/>
        </w:rPr>
        <w:t>30.1.3</w:t>
      </w:r>
      <w:r>
        <w:rPr>
          <w:rFonts w:hint="eastAsia" w:ascii="宋体" w:hAnsi="宋体"/>
          <w:sz w:val="24"/>
          <w:szCs w:val="24"/>
        </w:rPr>
        <w:t>投标人的报价不得超过采购预算，否则作为废标；</w:t>
      </w:r>
    </w:p>
    <w:p w14:paraId="38724897">
      <w:pPr>
        <w:pStyle w:val="44"/>
        <w:spacing w:after="0" w:line="400" w:lineRule="exact"/>
        <w:ind w:left="0" w:leftChars="0"/>
        <w:outlineLvl w:val="0"/>
        <w:rPr>
          <w:rFonts w:ascii="宋体" w:hAnsi="宋体"/>
          <w:sz w:val="24"/>
          <w:szCs w:val="24"/>
        </w:rPr>
      </w:pPr>
      <w:r>
        <w:rPr>
          <w:rFonts w:ascii="宋体" w:hAnsi="宋体"/>
          <w:sz w:val="24"/>
          <w:szCs w:val="24"/>
        </w:rPr>
        <w:t>30.1.4</w:t>
      </w:r>
      <w:r>
        <w:rPr>
          <w:rFonts w:hint="eastAsia" w:ascii="宋体" w:hAnsi="宋体"/>
          <w:sz w:val="24"/>
          <w:szCs w:val="24"/>
        </w:rPr>
        <w:t>因重大变故，采购任务取消的。</w:t>
      </w:r>
    </w:p>
    <w:p w14:paraId="74EFD5D1">
      <w:pPr>
        <w:pStyle w:val="44"/>
        <w:spacing w:after="0" w:line="400" w:lineRule="exact"/>
        <w:ind w:left="0" w:leftChars="0"/>
        <w:outlineLvl w:val="0"/>
        <w:rPr>
          <w:rFonts w:ascii="宋体" w:hAnsi="宋体"/>
          <w:sz w:val="24"/>
          <w:szCs w:val="24"/>
        </w:rPr>
      </w:pPr>
      <w:r>
        <w:rPr>
          <w:rFonts w:ascii="宋体" w:hAnsi="宋体"/>
          <w:sz w:val="24"/>
          <w:szCs w:val="24"/>
        </w:rPr>
        <w:t>30.2</w:t>
      </w:r>
      <w:r>
        <w:rPr>
          <w:rFonts w:hint="eastAsia" w:ascii="宋体" w:hAnsi="宋体"/>
          <w:sz w:val="24"/>
          <w:szCs w:val="24"/>
        </w:rPr>
        <w:t>废标后，招标代理机构将把废标的理由通知所有投标人。</w:t>
      </w:r>
    </w:p>
    <w:p w14:paraId="37158025">
      <w:pPr>
        <w:spacing w:line="400" w:lineRule="exact"/>
        <w:outlineLvl w:val="0"/>
        <w:rPr>
          <w:rFonts w:ascii="宋体" w:hAnsi="宋体"/>
          <w:b/>
          <w:szCs w:val="24"/>
        </w:rPr>
      </w:pPr>
      <w:r>
        <w:rPr>
          <w:rFonts w:ascii="宋体" w:hAnsi="宋体"/>
          <w:b/>
          <w:szCs w:val="24"/>
        </w:rPr>
        <w:t>31</w:t>
      </w:r>
      <w:r>
        <w:rPr>
          <w:rFonts w:hint="eastAsia" w:ascii="宋体" w:hAnsi="宋体"/>
          <w:b/>
          <w:szCs w:val="24"/>
        </w:rPr>
        <w:t>．投标文件的评价和比较</w:t>
      </w:r>
    </w:p>
    <w:p w14:paraId="0E6BD07C">
      <w:pPr>
        <w:pStyle w:val="9"/>
        <w:overflowPunct w:val="0"/>
        <w:spacing w:line="400" w:lineRule="exact"/>
        <w:ind w:firstLine="0"/>
        <w:jc w:val="both"/>
        <w:rPr>
          <w:rFonts w:ascii="宋体" w:hAnsi="宋体" w:eastAsia="宋体"/>
          <w:szCs w:val="24"/>
        </w:rPr>
      </w:pPr>
      <w:r>
        <w:rPr>
          <w:rFonts w:hint="eastAsia" w:ascii="宋体" w:hAnsi="宋体" w:eastAsia="宋体"/>
          <w:szCs w:val="24"/>
        </w:rPr>
        <w:t>31.1评标委员会按招标文件规定的评标方法和标准，仅对资格性检查和符合性检查合格的投标文件进行商务和技术评估，综合比较与评价。</w:t>
      </w:r>
    </w:p>
    <w:p w14:paraId="760B499B">
      <w:pPr>
        <w:pStyle w:val="9"/>
        <w:overflowPunct w:val="0"/>
        <w:spacing w:line="400" w:lineRule="exact"/>
        <w:ind w:firstLine="0"/>
        <w:jc w:val="both"/>
        <w:rPr>
          <w:rFonts w:ascii="宋体" w:hAnsi="宋体" w:eastAsia="宋体"/>
          <w:szCs w:val="24"/>
        </w:rPr>
      </w:pPr>
      <w:r>
        <w:rPr>
          <w:rFonts w:hint="eastAsia" w:ascii="宋体" w:hAnsi="宋体" w:eastAsia="宋体"/>
          <w:szCs w:val="24"/>
        </w:rPr>
        <w:t>31.2评价和比较采用的办法见前附表，具体内容详见招标文件第六章。</w:t>
      </w:r>
    </w:p>
    <w:p w14:paraId="2904EAF6">
      <w:pPr>
        <w:spacing w:line="400" w:lineRule="exact"/>
        <w:outlineLvl w:val="0"/>
        <w:rPr>
          <w:rFonts w:ascii="宋体" w:hAnsi="宋体"/>
          <w:b/>
          <w:szCs w:val="24"/>
        </w:rPr>
      </w:pPr>
      <w:r>
        <w:rPr>
          <w:rFonts w:hint="eastAsia" w:ascii="宋体" w:hAnsi="宋体"/>
          <w:b/>
          <w:szCs w:val="24"/>
        </w:rPr>
        <w:t>七、授予合同</w:t>
      </w:r>
    </w:p>
    <w:p w14:paraId="1B561189">
      <w:pPr>
        <w:spacing w:line="400" w:lineRule="exact"/>
        <w:outlineLvl w:val="0"/>
        <w:rPr>
          <w:rFonts w:ascii="宋体" w:hAnsi="宋体"/>
          <w:b/>
          <w:szCs w:val="24"/>
        </w:rPr>
      </w:pPr>
      <w:r>
        <w:rPr>
          <w:rFonts w:ascii="宋体" w:hAnsi="宋体"/>
          <w:b/>
          <w:szCs w:val="24"/>
        </w:rPr>
        <w:t>32</w:t>
      </w:r>
      <w:r>
        <w:rPr>
          <w:rFonts w:hint="eastAsia" w:ascii="宋体" w:hAnsi="宋体"/>
          <w:b/>
          <w:szCs w:val="24"/>
        </w:rPr>
        <w:t>．中标供应商的确认</w:t>
      </w:r>
    </w:p>
    <w:p w14:paraId="31202923">
      <w:pPr>
        <w:pStyle w:val="9"/>
        <w:overflowPunct w:val="0"/>
        <w:spacing w:line="400" w:lineRule="exact"/>
        <w:ind w:firstLine="0"/>
        <w:jc w:val="both"/>
        <w:rPr>
          <w:rFonts w:ascii="宋体" w:hAnsi="宋体" w:eastAsia="宋体"/>
          <w:szCs w:val="24"/>
        </w:rPr>
      </w:pPr>
      <w:r>
        <w:rPr>
          <w:rFonts w:hint="eastAsia" w:ascii="宋体" w:hAnsi="宋体" w:eastAsia="宋体"/>
          <w:szCs w:val="24"/>
        </w:rPr>
        <w:t>32.1评标委员会按招标文件规定的评标方法和标准进行详细评审后，按招标采购单位的委托向招标采购单位推荐中标候选单位或根据采购人授权直接确定中标供应商。</w:t>
      </w:r>
    </w:p>
    <w:p w14:paraId="306F9477">
      <w:pPr>
        <w:pStyle w:val="9"/>
        <w:overflowPunct w:val="0"/>
        <w:spacing w:line="400" w:lineRule="exact"/>
        <w:ind w:firstLine="0"/>
        <w:jc w:val="both"/>
        <w:rPr>
          <w:rFonts w:ascii="宋体" w:hAnsi="宋体" w:eastAsia="宋体"/>
          <w:szCs w:val="24"/>
        </w:rPr>
      </w:pPr>
      <w:r>
        <w:rPr>
          <w:rFonts w:hint="eastAsia" w:ascii="宋体" w:hAnsi="宋体" w:eastAsia="宋体"/>
          <w:szCs w:val="24"/>
        </w:rPr>
        <w:t>32.2经评标委员会评审并确定中标供应商后，招标采购单位将在规定的时间内将中标结果在相关媒体上予以公示。各投标单位如对公示结果有异议，应在中标结果公告期届满之日起七个工作日内，以书面形式向招标采购单位提出质疑，同时该质疑应有投标单位法定代表人（负责人）或参加投标的代理人签署。招标采购单位将在收到经投标单位法定代表人（负责人）或参加投标的代理人签署的书面质疑后七个工作日内，对质疑内容作出答复。如投标单位在中标结果公告期届满之日起七个工作日后向招标采购单位提出质疑或质疑未经投标单位法定代表人（负责人）或参加投标的代理人签署，招标采购单位有权对该质疑不予答复。</w:t>
      </w:r>
    </w:p>
    <w:p w14:paraId="4AC8F2F1">
      <w:pPr>
        <w:spacing w:line="400" w:lineRule="exact"/>
        <w:outlineLvl w:val="0"/>
        <w:rPr>
          <w:rFonts w:ascii="宋体" w:hAnsi="宋体"/>
          <w:b/>
          <w:szCs w:val="24"/>
        </w:rPr>
      </w:pPr>
      <w:r>
        <w:rPr>
          <w:rFonts w:ascii="宋体" w:hAnsi="宋体"/>
          <w:b/>
          <w:szCs w:val="24"/>
        </w:rPr>
        <w:t>33</w:t>
      </w:r>
      <w:r>
        <w:rPr>
          <w:rFonts w:hint="eastAsia" w:ascii="宋体" w:hAnsi="宋体"/>
          <w:b/>
          <w:szCs w:val="24"/>
        </w:rPr>
        <w:t>．合同授予标准</w:t>
      </w:r>
    </w:p>
    <w:p w14:paraId="52BA9227">
      <w:pPr>
        <w:pStyle w:val="44"/>
        <w:spacing w:after="0" w:line="400" w:lineRule="exact"/>
        <w:ind w:left="0" w:leftChars="0"/>
        <w:rPr>
          <w:rFonts w:ascii="宋体" w:hAnsi="宋体"/>
          <w:sz w:val="24"/>
          <w:szCs w:val="24"/>
        </w:rPr>
      </w:pPr>
      <w:r>
        <w:rPr>
          <w:rFonts w:ascii="宋体" w:hAnsi="宋体"/>
          <w:sz w:val="24"/>
          <w:szCs w:val="24"/>
        </w:rPr>
        <w:t>33.1</w:t>
      </w:r>
      <w:r>
        <w:rPr>
          <w:rFonts w:hint="eastAsia" w:ascii="宋体" w:hAnsi="宋体"/>
          <w:sz w:val="24"/>
          <w:szCs w:val="24"/>
        </w:rPr>
        <w:t>采购人将把合同授予其投标文件在实质上响应招标文件要求和按本须知规定评选出的投标人。确定为中标的投标人必须具有实施本合同的能力和资源。</w:t>
      </w:r>
    </w:p>
    <w:p w14:paraId="6EA8C10A">
      <w:pPr>
        <w:pStyle w:val="44"/>
        <w:spacing w:after="0" w:line="400" w:lineRule="exact"/>
        <w:ind w:left="0" w:leftChars="0"/>
        <w:rPr>
          <w:rFonts w:ascii="宋体" w:hAnsi="宋体"/>
          <w:sz w:val="24"/>
          <w:szCs w:val="24"/>
        </w:rPr>
      </w:pPr>
      <w:r>
        <w:rPr>
          <w:rFonts w:ascii="宋体" w:hAnsi="宋体"/>
          <w:sz w:val="24"/>
          <w:szCs w:val="24"/>
        </w:rPr>
        <w:t xml:space="preserve">33.2 </w:t>
      </w:r>
      <w:r>
        <w:rPr>
          <w:rFonts w:hint="eastAsia" w:ascii="宋体" w:hAnsi="宋体"/>
          <w:sz w:val="24"/>
          <w:szCs w:val="24"/>
        </w:rPr>
        <w:t>在合同签订之前，如发现中标供应商提供的材料或对招标文件所要求说明的情况故意隐瞒或虚报，则采购人有权取消其签约资格，不予退还其投标保证金，并依据本办法的规定从其他中标人或中标候选人中重新确定，或者重新进行招标。</w:t>
      </w:r>
    </w:p>
    <w:p w14:paraId="32E6E04C">
      <w:pPr>
        <w:pStyle w:val="44"/>
        <w:spacing w:after="0" w:line="400" w:lineRule="exact"/>
        <w:ind w:left="0" w:leftChars="0"/>
        <w:rPr>
          <w:rFonts w:ascii="宋体" w:hAnsi="宋体"/>
          <w:sz w:val="24"/>
          <w:szCs w:val="24"/>
        </w:rPr>
      </w:pPr>
      <w:r>
        <w:rPr>
          <w:rFonts w:hint="eastAsia" w:ascii="宋体" w:hAnsi="宋体"/>
          <w:sz w:val="24"/>
          <w:szCs w:val="24"/>
        </w:rPr>
        <w:t>33.3</w:t>
      </w:r>
      <w:r>
        <w:rPr>
          <w:rFonts w:hint="eastAsia" w:ascii="宋体" w:hAnsi="宋体"/>
          <w:color w:val="FF0000"/>
          <w:sz w:val="24"/>
          <w:szCs w:val="24"/>
        </w:rPr>
        <w:t>采购合同履行中，采购人需追加与合同标的物相同的货物、工程或者服务的，在不改变合同其他条款的前提下，可以与中标供应商签订补充合同，但所有补充合同的采购金额不得超过原合同采购金额的百分之三十。</w:t>
      </w:r>
    </w:p>
    <w:p w14:paraId="2A24B6F0">
      <w:pPr>
        <w:spacing w:line="400" w:lineRule="exact"/>
        <w:outlineLvl w:val="0"/>
        <w:rPr>
          <w:rFonts w:ascii="宋体" w:hAnsi="宋体"/>
          <w:b/>
          <w:szCs w:val="24"/>
        </w:rPr>
      </w:pPr>
      <w:r>
        <w:rPr>
          <w:rFonts w:ascii="宋体" w:hAnsi="宋体"/>
          <w:b/>
          <w:szCs w:val="24"/>
        </w:rPr>
        <w:t>34</w:t>
      </w:r>
      <w:r>
        <w:rPr>
          <w:rFonts w:hint="eastAsia" w:ascii="宋体" w:hAnsi="宋体"/>
          <w:b/>
          <w:szCs w:val="24"/>
        </w:rPr>
        <w:t>．中标通知书</w:t>
      </w:r>
    </w:p>
    <w:p w14:paraId="5D36B3EE">
      <w:pPr>
        <w:pStyle w:val="9"/>
        <w:overflowPunct w:val="0"/>
        <w:spacing w:line="400" w:lineRule="exact"/>
        <w:ind w:firstLine="0"/>
        <w:jc w:val="both"/>
        <w:rPr>
          <w:rFonts w:ascii="宋体" w:hAnsi="宋体" w:eastAsia="宋体"/>
          <w:szCs w:val="24"/>
        </w:rPr>
      </w:pPr>
      <w:r>
        <w:rPr>
          <w:rFonts w:hint="eastAsia" w:ascii="宋体" w:hAnsi="宋体" w:eastAsia="宋体"/>
          <w:szCs w:val="24"/>
        </w:rPr>
        <w:t>34.1确定出中标供应商后招标采购单位应当向中标供应商发出中标通知书，中标通知书对采购人和中标供应商具有同等法律效力。中标通知书发出后，采购人改变中标结果，或者中标供应商放弃中标，应当承担相应的法律责任。</w:t>
      </w:r>
    </w:p>
    <w:p w14:paraId="5EEAE309">
      <w:pPr>
        <w:pStyle w:val="9"/>
        <w:overflowPunct w:val="0"/>
        <w:spacing w:line="400" w:lineRule="exact"/>
        <w:ind w:firstLine="0"/>
        <w:jc w:val="both"/>
        <w:rPr>
          <w:rFonts w:ascii="宋体" w:hAnsi="宋体" w:eastAsia="宋体"/>
          <w:szCs w:val="24"/>
        </w:rPr>
      </w:pPr>
      <w:r>
        <w:rPr>
          <w:rFonts w:hint="eastAsia" w:ascii="宋体" w:hAnsi="宋体" w:eastAsia="宋体"/>
          <w:szCs w:val="24"/>
        </w:rPr>
        <w:t>34.2中标通知书将成为合同的组成部分。</w:t>
      </w:r>
    </w:p>
    <w:p w14:paraId="1B206F3E">
      <w:pPr>
        <w:pStyle w:val="9"/>
        <w:overflowPunct w:val="0"/>
        <w:spacing w:line="400" w:lineRule="exact"/>
        <w:ind w:firstLine="0"/>
        <w:jc w:val="both"/>
        <w:rPr>
          <w:rFonts w:ascii="宋体" w:hAnsi="宋体" w:eastAsia="宋体"/>
          <w:szCs w:val="24"/>
        </w:rPr>
      </w:pPr>
      <w:r>
        <w:rPr>
          <w:rFonts w:hint="eastAsia" w:ascii="宋体" w:hAnsi="宋体" w:eastAsia="宋体"/>
          <w:szCs w:val="24"/>
        </w:rPr>
        <w:t>34.3招标采购单位对未中标供应商不承担解释未中标原因的义务。</w:t>
      </w:r>
    </w:p>
    <w:p w14:paraId="60BA75E3">
      <w:pPr>
        <w:widowControl w:val="0"/>
        <w:spacing w:line="400" w:lineRule="exact"/>
        <w:jc w:val="both"/>
        <w:rPr>
          <w:rFonts w:ascii="宋体" w:hAnsi="宋体"/>
          <w:b/>
          <w:szCs w:val="24"/>
        </w:rPr>
      </w:pPr>
      <w:r>
        <w:rPr>
          <w:rFonts w:ascii="宋体" w:hAnsi="宋体"/>
          <w:b/>
          <w:szCs w:val="24"/>
        </w:rPr>
        <w:t>35</w:t>
      </w:r>
      <w:r>
        <w:rPr>
          <w:rFonts w:hint="eastAsia" w:ascii="宋体" w:hAnsi="宋体"/>
          <w:b/>
          <w:szCs w:val="24"/>
        </w:rPr>
        <w:t>．履约保证金</w:t>
      </w:r>
    </w:p>
    <w:p w14:paraId="1679DD39">
      <w:pPr>
        <w:widowControl w:val="0"/>
        <w:spacing w:line="400" w:lineRule="exact"/>
        <w:jc w:val="both"/>
        <w:rPr>
          <w:rFonts w:ascii="宋体" w:hAnsi="宋体"/>
          <w:szCs w:val="24"/>
        </w:rPr>
      </w:pPr>
      <w:r>
        <w:rPr>
          <w:rFonts w:ascii="宋体" w:hAnsi="宋体"/>
          <w:szCs w:val="24"/>
        </w:rPr>
        <w:t>35.1</w:t>
      </w:r>
      <w:r>
        <w:rPr>
          <w:rFonts w:hint="eastAsia" w:ascii="宋体" w:hAnsi="宋体"/>
          <w:szCs w:val="24"/>
        </w:rPr>
        <w:t>中标供应商应按规定提交履约保证金，以支票、汇票、本票或者金融机构、担保机构出具的保函等非现金形式提交。</w:t>
      </w:r>
    </w:p>
    <w:p w14:paraId="53C6F6FA">
      <w:pPr>
        <w:widowControl w:val="0"/>
        <w:spacing w:line="400" w:lineRule="exact"/>
        <w:jc w:val="both"/>
        <w:rPr>
          <w:rFonts w:ascii="宋体" w:hAnsi="宋体"/>
          <w:szCs w:val="24"/>
        </w:rPr>
      </w:pPr>
      <w:r>
        <w:rPr>
          <w:rFonts w:hint="eastAsia" w:ascii="宋体" w:hAnsi="宋体"/>
          <w:szCs w:val="24"/>
        </w:rPr>
        <w:t>35.2中标供应商必须在发出中标通知书后（合同签订前）的三日内按规定将履约保证金交至采购人指定账户。</w:t>
      </w:r>
    </w:p>
    <w:p w14:paraId="42AA6A9F">
      <w:pPr>
        <w:widowControl w:val="0"/>
        <w:spacing w:line="400" w:lineRule="exact"/>
        <w:jc w:val="both"/>
        <w:rPr>
          <w:rFonts w:ascii="宋体" w:hAnsi="宋体"/>
          <w:szCs w:val="24"/>
        </w:rPr>
      </w:pPr>
      <w:r>
        <w:rPr>
          <w:rFonts w:hint="eastAsia" w:ascii="宋体" w:hAnsi="宋体"/>
          <w:szCs w:val="24"/>
        </w:rPr>
        <w:t>35.3</w:t>
      </w:r>
      <w:r>
        <w:rPr>
          <w:rFonts w:ascii="宋体" w:hAnsi="宋体"/>
          <w:szCs w:val="24"/>
        </w:rPr>
        <w:t xml:space="preserve"> </w:t>
      </w:r>
      <w:r>
        <w:rPr>
          <w:rFonts w:hint="eastAsia" w:ascii="宋体" w:hAnsi="宋体"/>
          <w:szCs w:val="24"/>
        </w:rPr>
        <w:t>履约保证金（无息）将在中标供应商合同履行完毕且质保期满后，采购人凭中标供应商的收款收据后退返中标供应商。</w:t>
      </w:r>
    </w:p>
    <w:p w14:paraId="1B3CB876">
      <w:pPr>
        <w:spacing w:line="400" w:lineRule="exact"/>
        <w:outlineLvl w:val="0"/>
        <w:rPr>
          <w:rFonts w:ascii="宋体" w:hAnsi="宋体"/>
          <w:b/>
          <w:szCs w:val="24"/>
        </w:rPr>
      </w:pPr>
      <w:r>
        <w:rPr>
          <w:rFonts w:ascii="宋体" w:hAnsi="宋体"/>
          <w:b/>
          <w:szCs w:val="24"/>
        </w:rPr>
        <w:t>36</w:t>
      </w:r>
      <w:r>
        <w:rPr>
          <w:rFonts w:hint="eastAsia" w:ascii="宋体" w:hAnsi="宋体"/>
          <w:b/>
          <w:szCs w:val="24"/>
        </w:rPr>
        <w:t>．合同的签订</w:t>
      </w:r>
    </w:p>
    <w:p w14:paraId="5A342758">
      <w:pPr>
        <w:pStyle w:val="44"/>
        <w:spacing w:after="0" w:line="400" w:lineRule="exact"/>
        <w:ind w:left="0" w:leftChars="0"/>
        <w:rPr>
          <w:rFonts w:ascii="宋体" w:hAnsi="宋体"/>
          <w:sz w:val="24"/>
          <w:szCs w:val="24"/>
        </w:rPr>
      </w:pPr>
      <w:r>
        <w:rPr>
          <w:rFonts w:ascii="宋体" w:hAnsi="宋体"/>
          <w:sz w:val="24"/>
          <w:szCs w:val="24"/>
        </w:rPr>
        <w:t>36.1</w:t>
      </w:r>
      <w:r>
        <w:rPr>
          <w:rFonts w:hint="eastAsia" w:ascii="宋体" w:hAnsi="宋体"/>
          <w:sz w:val="24"/>
          <w:szCs w:val="24"/>
        </w:rPr>
        <w:t>中标供应商应按中标通知书中规定的时间和地点，由法定代表人（负责人）或代理人与采购人代表签订合同。否则按放弃中标权处理。</w:t>
      </w:r>
    </w:p>
    <w:p w14:paraId="104222AF">
      <w:pPr>
        <w:pStyle w:val="44"/>
        <w:spacing w:after="0" w:line="400" w:lineRule="exact"/>
        <w:ind w:left="0" w:leftChars="0"/>
        <w:rPr>
          <w:rFonts w:ascii="宋体" w:hAnsi="宋体"/>
          <w:sz w:val="24"/>
          <w:szCs w:val="24"/>
        </w:rPr>
      </w:pPr>
      <w:r>
        <w:rPr>
          <w:rFonts w:ascii="宋体" w:hAnsi="宋体"/>
          <w:sz w:val="24"/>
          <w:szCs w:val="24"/>
        </w:rPr>
        <w:t>36.2</w:t>
      </w:r>
      <w:r>
        <w:rPr>
          <w:rFonts w:hint="eastAsia" w:ascii="宋体" w:hAnsi="宋体"/>
          <w:sz w:val="24"/>
          <w:szCs w:val="24"/>
        </w:rPr>
        <w:t>签订合同及合同条款应以招标文件和中标供应商的投标文件及其澄清文件为依据。</w:t>
      </w:r>
    </w:p>
    <w:p w14:paraId="0F3DF913">
      <w:pPr>
        <w:widowControl w:val="0"/>
        <w:spacing w:line="400" w:lineRule="exact"/>
        <w:jc w:val="both"/>
        <w:rPr>
          <w:rFonts w:ascii="宋体" w:hAnsi="宋体"/>
          <w:szCs w:val="24"/>
        </w:rPr>
      </w:pPr>
      <w:r>
        <w:rPr>
          <w:rFonts w:ascii="宋体" w:hAnsi="宋体"/>
          <w:szCs w:val="24"/>
        </w:rPr>
        <w:t>36.3</w:t>
      </w:r>
      <w:r>
        <w:rPr>
          <w:rFonts w:hint="eastAsia" w:ascii="宋体" w:hAnsi="宋体"/>
          <w:szCs w:val="24"/>
        </w:rPr>
        <w:t>中标人无正当理由拒签合同的，或在签订合同时向采购人提出附加条件或者更改合同实质性内容的，采购人可取消其中标资格，并不予退还其投标保证金，同时由中标人承担相应的法律责任。</w:t>
      </w:r>
    </w:p>
    <w:p w14:paraId="1DE04EA8">
      <w:pPr>
        <w:pStyle w:val="44"/>
        <w:spacing w:after="0" w:line="400" w:lineRule="exact"/>
        <w:ind w:left="0" w:leftChars="0"/>
        <w:rPr>
          <w:rFonts w:ascii="宋体" w:hAnsi="宋体"/>
          <w:b/>
          <w:sz w:val="24"/>
          <w:szCs w:val="24"/>
        </w:rPr>
      </w:pPr>
      <w:r>
        <w:rPr>
          <w:rFonts w:hint="eastAsia" w:ascii="宋体" w:hAnsi="宋体"/>
          <w:b/>
          <w:sz w:val="24"/>
          <w:szCs w:val="24"/>
        </w:rPr>
        <w:t>八、其他事项</w:t>
      </w:r>
    </w:p>
    <w:p w14:paraId="54C4EF8F">
      <w:pPr>
        <w:spacing w:line="400" w:lineRule="exact"/>
        <w:outlineLvl w:val="0"/>
        <w:rPr>
          <w:rFonts w:ascii="宋体" w:hAnsi="宋体"/>
          <w:b/>
          <w:szCs w:val="24"/>
        </w:rPr>
      </w:pPr>
      <w:r>
        <w:rPr>
          <w:rFonts w:ascii="宋体" w:hAnsi="宋体"/>
          <w:b/>
          <w:szCs w:val="24"/>
        </w:rPr>
        <w:t>37</w:t>
      </w:r>
      <w:r>
        <w:rPr>
          <w:rFonts w:hint="eastAsia" w:ascii="宋体" w:hAnsi="宋体"/>
          <w:b/>
          <w:szCs w:val="24"/>
        </w:rPr>
        <w:t>．中标服务费</w:t>
      </w:r>
    </w:p>
    <w:p w14:paraId="2C21210C">
      <w:pPr>
        <w:pStyle w:val="44"/>
        <w:spacing w:after="0" w:line="400" w:lineRule="exact"/>
        <w:ind w:left="0" w:leftChars="0"/>
        <w:rPr>
          <w:rFonts w:ascii="宋体" w:hAnsi="宋体"/>
          <w:sz w:val="24"/>
          <w:szCs w:val="24"/>
        </w:rPr>
      </w:pPr>
      <w:r>
        <w:rPr>
          <w:rFonts w:ascii="宋体" w:hAnsi="宋体"/>
          <w:sz w:val="24"/>
          <w:szCs w:val="24"/>
        </w:rPr>
        <w:t xml:space="preserve">37.1 </w:t>
      </w:r>
      <w:r>
        <w:rPr>
          <w:rFonts w:hint="eastAsia" w:ascii="宋体" w:hAnsi="宋体"/>
          <w:sz w:val="24"/>
          <w:szCs w:val="24"/>
        </w:rPr>
        <w:t>中标供应商须按前附表的规定，按其中标总金额计算并支付招标代理服务费，该费用应在领取中标通知书时付清。</w:t>
      </w:r>
    </w:p>
    <w:p w14:paraId="7CDCC2AA">
      <w:pPr>
        <w:pStyle w:val="44"/>
        <w:spacing w:after="0" w:line="400" w:lineRule="exact"/>
        <w:ind w:left="0" w:leftChars="0"/>
        <w:rPr>
          <w:rFonts w:ascii="宋体" w:hAnsi="宋体"/>
          <w:sz w:val="24"/>
          <w:szCs w:val="24"/>
        </w:rPr>
      </w:pPr>
      <w:r>
        <w:rPr>
          <w:rFonts w:ascii="宋体" w:hAnsi="宋体"/>
          <w:sz w:val="24"/>
          <w:szCs w:val="24"/>
        </w:rPr>
        <w:t>37.2</w:t>
      </w:r>
      <w:r>
        <w:rPr>
          <w:rFonts w:hint="eastAsia" w:ascii="宋体" w:hAnsi="宋体"/>
          <w:sz w:val="24"/>
          <w:szCs w:val="24"/>
        </w:rPr>
        <w:t>中标供应商如果未按规定缴纳中标服务费，招标代理机构有权从其投标保证金取得相应金额的赔付，并保留诉讼的权利。</w:t>
      </w:r>
    </w:p>
    <w:p w14:paraId="777D757B">
      <w:pPr>
        <w:spacing w:line="400" w:lineRule="exact"/>
        <w:outlineLvl w:val="0"/>
        <w:rPr>
          <w:rFonts w:ascii="宋体" w:hAnsi="宋体"/>
          <w:b/>
          <w:szCs w:val="24"/>
        </w:rPr>
      </w:pPr>
      <w:r>
        <w:rPr>
          <w:rFonts w:ascii="宋体" w:hAnsi="宋体"/>
          <w:b/>
          <w:szCs w:val="24"/>
        </w:rPr>
        <w:t>38</w:t>
      </w:r>
      <w:r>
        <w:rPr>
          <w:rFonts w:hint="eastAsia" w:ascii="宋体" w:hAnsi="宋体"/>
          <w:b/>
          <w:szCs w:val="24"/>
        </w:rPr>
        <w:t>．监督和公证</w:t>
      </w:r>
    </w:p>
    <w:p w14:paraId="3B14AB06">
      <w:pPr>
        <w:pStyle w:val="44"/>
        <w:spacing w:after="0" w:line="400" w:lineRule="exact"/>
        <w:ind w:left="0" w:leftChars="0"/>
        <w:rPr>
          <w:rFonts w:ascii="宋体" w:hAnsi="宋体"/>
          <w:sz w:val="24"/>
          <w:szCs w:val="24"/>
        </w:rPr>
      </w:pPr>
      <w:r>
        <w:rPr>
          <w:rFonts w:ascii="宋体" w:hAnsi="宋体"/>
          <w:sz w:val="24"/>
          <w:szCs w:val="24"/>
        </w:rPr>
        <w:t>38.1</w:t>
      </w:r>
      <w:r>
        <w:rPr>
          <w:rFonts w:hint="eastAsia" w:ascii="宋体" w:hAnsi="宋体"/>
          <w:sz w:val="24"/>
          <w:szCs w:val="24"/>
        </w:rPr>
        <w:t>采购单位监督部门将对招投标全过程进行监督。</w:t>
      </w:r>
    </w:p>
    <w:p w14:paraId="32A1E680">
      <w:pPr>
        <w:spacing w:line="400" w:lineRule="exact"/>
        <w:outlineLvl w:val="0"/>
        <w:rPr>
          <w:rFonts w:ascii="宋体" w:hAnsi="宋体"/>
          <w:b/>
          <w:szCs w:val="24"/>
        </w:rPr>
      </w:pPr>
      <w:r>
        <w:rPr>
          <w:rFonts w:ascii="宋体" w:hAnsi="宋体"/>
          <w:b/>
          <w:szCs w:val="24"/>
        </w:rPr>
        <w:t>39</w:t>
      </w:r>
      <w:r>
        <w:rPr>
          <w:rFonts w:hint="eastAsia" w:ascii="宋体" w:hAnsi="宋体"/>
          <w:b/>
          <w:szCs w:val="24"/>
        </w:rPr>
        <w:t>．未尽事宜</w:t>
      </w:r>
    </w:p>
    <w:p w14:paraId="6CDF6E34">
      <w:pPr>
        <w:autoSpaceDE w:val="0"/>
        <w:autoSpaceDN w:val="0"/>
        <w:spacing w:line="400" w:lineRule="exact"/>
        <w:rPr>
          <w:rFonts w:ascii="宋体" w:hAnsi="宋体"/>
          <w:szCs w:val="24"/>
        </w:rPr>
      </w:pPr>
      <w:r>
        <w:rPr>
          <w:rFonts w:hint="eastAsia" w:ascii="宋体" w:hAnsi="宋体"/>
          <w:szCs w:val="24"/>
        </w:rPr>
        <w:t>按《中华人民共和国招标投标法》及其他有关法律法规的规定执行。</w:t>
      </w:r>
    </w:p>
    <w:p w14:paraId="772A6EC9">
      <w:pPr>
        <w:spacing w:line="400" w:lineRule="exact"/>
        <w:ind w:left="3602" w:leftChars="201" w:hanging="3120" w:hangingChars="1300"/>
        <w:outlineLvl w:val="0"/>
        <w:rPr>
          <w:rFonts w:eastAsia="黑体"/>
          <w:b/>
          <w:bCs/>
          <w:sz w:val="32"/>
          <w:szCs w:val="32"/>
        </w:rPr>
      </w:pPr>
      <w:r>
        <w:rPr>
          <w:rFonts w:hint="eastAsia" w:ascii="宋体" w:hAnsi="宋体"/>
          <w:szCs w:val="24"/>
          <w:lang w:val="zh-CN"/>
        </w:rPr>
        <w:t xml:space="preserve">                      </w:t>
      </w:r>
      <w:r>
        <w:rPr>
          <w:kern w:val="2"/>
          <w:sz w:val="44"/>
          <w:szCs w:val="44"/>
        </w:rPr>
        <w:br w:type="page"/>
      </w:r>
      <w:r>
        <w:rPr>
          <w:rFonts w:eastAsia="黑体"/>
          <w:b/>
          <w:bCs/>
          <w:sz w:val="32"/>
          <w:szCs w:val="32"/>
        </w:rPr>
        <w:t>第</w:t>
      </w:r>
      <w:r>
        <w:rPr>
          <w:rFonts w:hint="eastAsia" w:eastAsia="黑体"/>
          <w:b/>
          <w:bCs/>
          <w:sz w:val="32"/>
          <w:szCs w:val="32"/>
        </w:rPr>
        <w:t>三</w:t>
      </w:r>
      <w:r>
        <w:rPr>
          <w:rFonts w:eastAsia="黑体"/>
          <w:b/>
          <w:bCs/>
          <w:sz w:val="32"/>
          <w:szCs w:val="32"/>
        </w:rPr>
        <w:t>章  投标文件格式</w:t>
      </w:r>
    </w:p>
    <w:p w14:paraId="46B63C5D">
      <w:pPr>
        <w:widowControl w:val="0"/>
        <w:autoSpaceDE w:val="0"/>
        <w:autoSpaceDN w:val="0"/>
        <w:adjustRightInd w:val="0"/>
        <w:spacing w:line="360" w:lineRule="auto"/>
        <w:jc w:val="both"/>
        <w:rPr>
          <w:b/>
          <w:bCs/>
          <w:kern w:val="2"/>
          <w:szCs w:val="24"/>
        </w:rPr>
      </w:pPr>
      <w:r>
        <w:rPr>
          <w:b/>
          <w:bCs/>
          <w:kern w:val="2"/>
          <w:szCs w:val="24"/>
          <w:lang w:val="zh-CN"/>
        </w:rPr>
        <w:t>说明：</w:t>
      </w:r>
    </w:p>
    <w:p w14:paraId="6E2B0BA2">
      <w:pPr>
        <w:widowControl w:val="0"/>
        <w:autoSpaceDE w:val="0"/>
        <w:autoSpaceDN w:val="0"/>
        <w:adjustRightInd w:val="0"/>
        <w:spacing w:line="360" w:lineRule="auto"/>
        <w:ind w:firstLine="480"/>
        <w:jc w:val="both"/>
        <w:rPr>
          <w:b/>
          <w:bCs/>
          <w:kern w:val="2"/>
          <w:szCs w:val="24"/>
        </w:rPr>
      </w:pPr>
      <w:r>
        <w:rPr>
          <w:b/>
          <w:bCs/>
          <w:kern w:val="2"/>
          <w:szCs w:val="24"/>
          <w:lang w:val="zh-CN"/>
        </w:rPr>
        <w:t>对本章所有的投标书格式 ，投标人可根据自身情况进行补充和修改，但补充和修改不得造成与本格式内容有实质性的违背。</w:t>
      </w:r>
    </w:p>
    <w:p w14:paraId="04DD106B">
      <w:pPr>
        <w:widowControl w:val="0"/>
        <w:autoSpaceDE w:val="0"/>
        <w:autoSpaceDN w:val="0"/>
        <w:adjustRightInd w:val="0"/>
        <w:spacing w:line="360" w:lineRule="auto"/>
        <w:jc w:val="both"/>
        <w:rPr>
          <w:b/>
          <w:bCs/>
          <w:kern w:val="2"/>
          <w:szCs w:val="24"/>
        </w:rPr>
      </w:pPr>
    </w:p>
    <w:p w14:paraId="17B8AABD">
      <w:pPr>
        <w:widowControl w:val="0"/>
        <w:autoSpaceDE w:val="0"/>
        <w:autoSpaceDN w:val="0"/>
        <w:adjustRightInd w:val="0"/>
        <w:jc w:val="both"/>
        <w:rPr>
          <w:b/>
          <w:kern w:val="2"/>
          <w:szCs w:val="24"/>
        </w:rPr>
      </w:pPr>
      <w:r>
        <w:rPr>
          <w:sz w:val="21"/>
          <w:lang w:val="zh-CN"/>
        </w:rPr>
        <w:br w:type="page"/>
      </w:r>
      <w:r>
        <w:rPr>
          <w:b/>
          <w:szCs w:val="24"/>
          <w:lang w:val="zh-CN"/>
        </w:rPr>
        <w:t>格式</w:t>
      </w:r>
      <w:r>
        <w:rPr>
          <w:b/>
          <w:kern w:val="2"/>
          <w:szCs w:val="24"/>
          <w:lang w:val="zh-CN"/>
        </w:rPr>
        <w:t>1、投标函</w:t>
      </w:r>
    </w:p>
    <w:p w14:paraId="4EA284A4">
      <w:pPr>
        <w:spacing w:line="420" w:lineRule="exact"/>
        <w:ind w:left="482"/>
        <w:jc w:val="center"/>
        <w:outlineLvl w:val="0"/>
        <w:rPr>
          <w:rFonts w:eastAsia="黑体"/>
          <w:b/>
          <w:bCs/>
          <w:sz w:val="32"/>
          <w:szCs w:val="32"/>
        </w:rPr>
      </w:pPr>
      <w:r>
        <w:rPr>
          <w:rFonts w:eastAsia="黑体"/>
          <w:b/>
          <w:bCs/>
          <w:sz w:val="32"/>
          <w:szCs w:val="32"/>
        </w:rPr>
        <w:t>投标函</w:t>
      </w:r>
    </w:p>
    <w:p w14:paraId="7C763C20">
      <w:pPr>
        <w:pStyle w:val="138"/>
        <w:spacing w:line="360" w:lineRule="exact"/>
        <w:rPr>
          <w:rFonts w:ascii="Times New Roman" w:hAnsi="Times New Roman" w:eastAsia="宋体"/>
          <w:sz w:val="24"/>
          <w:szCs w:val="24"/>
        </w:rPr>
      </w:pPr>
      <w:r>
        <w:rPr>
          <w:rFonts w:ascii="Times New Roman" w:hAnsi="Times New Roman" w:eastAsia="宋体"/>
          <w:sz w:val="24"/>
          <w:szCs w:val="24"/>
        </w:rPr>
        <w:t>苏州市永诚建设咨询有限公司 ：</w:t>
      </w:r>
    </w:p>
    <w:p w14:paraId="1CB76E69">
      <w:pPr>
        <w:pStyle w:val="138"/>
        <w:spacing w:line="380" w:lineRule="exact"/>
        <w:ind w:firstLine="480" w:firstLineChars="200"/>
        <w:rPr>
          <w:rFonts w:ascii="Times New Roman" w:hAnsi="Times New Roman" w:eastAsia="宋体"/>
          <w:sz w:val="24"/>
          <w:szCs w:val="24"/>
        </w:rPr>
      </w:pP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Times New Roman" w:eastAsia="宋体"/>
          <w:sz w:val="24"/>
          <w:szCs w:val="24"/>
        </w:rPr>
        <w:t xml:space="preserve">收到贵公司 </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rPr>
        <w:t xml:space="preserve">                  </w:t>
      </w:r>
      <w:r>
        <w:rPr>
          <w:rFonts w:ascii="Times New Roman" w:hAnsi="Times New Roman" w:eastAsia="宋体"/>
          <w:sz w:val="24"/>
          <w:szCs w:val="24"/>
        </w:rPr>
        <w:t>号招标文件，经仔细阅读和研究，我</w:t>
      </w:r>
      <w:r>
        <w:rPr>
          <w:rFonts w:hint="eastAsia" w:ascii="Times New Roman" w:hAnsi="Times New Roman" w:eastAsia="宋体"/>
          <w:sz w:val="24"/>
          <w:szCs w:val="24"/>
        </w:rPr>
        <w:t>方</w:t>
      </w:r>
      <w:r>
        <w:rPr>
          <w:rFonts w:ascii="Times New Roman" w:hAnsi="Times New Roman" w:eastAsia="宋体"/>
          <w:sz w:val="24"/>
          <w:szCs w:val="24"/>
        </w:rPr>
        <w:t>决定参加投标。</w:t>
      </w:r>
      <w:r>
        <w:rPr>
          <w:rFonts w:hint="eastAsia" w:ascii="Times New Roman" w:hAnsi="Times New Roman" w:eastAsia="宋体"/>
          <w:sz w:val="24"/>
          <w:szCs w:val="24"/>
        </w:rPr>
        <w:t>并向贵公司承诺：</w:t>
      </w:r>
    </w:p>
    <w:p w14:paraId="1B9AFDFF">
      <w:pPr>
        <w:pStyle w:val="138"/>
        <w:spacing w:line="380" w:lineRule="exact"/>
        <w:ind w:firstLine="480" w:firstLineChars="200"/>
        <w:rPr>
          <w:rFonts w:ascii="Times New Roman" w:hAnsi="Times New Roman" w:eastAsia="宋体"/>
          <w:sz w:val="24"/>
          <w:szCs w:val="24"/>
        </w:rPr>
      </w:pPr>
      <w:r>
        <w:rPr>
          <w:rFonts w:ascii="Times New Roman" w:hAnsi="Times New Roman" w:eastAsia="宋体"/>
          <w:sz w:val="24"/>
          <w:szCs w:val="24"/>
        </w:rPr>
        <w:t>1、我</w:t>
      </w:r>
      <w:r>
        <w:rPr>
          <w:rFonts w:hint="eastAsia" w:ascii="Times New Roman" w:hAnsi="Times New Roman" w:eastAsia="宋体"/>
          <w:sz w:val="24"/>
          <w:szCs w:val="24"/>
        </w:rPr>
        <w:t>方</w:t>
      </w:r>
      <w:r>
        <w:rPr>
          <w:rFonts w:ascii="Times New Roman" w:hAnsi="Times New Roman" w:eastAsia="宋体"/>
          <w:sz w:val="24"/>
          <w:szCs w:val="24"/>
        </w:rPr>
        <w:t>愿意按照招标文件的一切要求，提供</w:t>
      </w:r>
      <w:r>
        <w:rPr>
          <w:rFonts w:hint="eastAsia" w:ascii="Times New Roman" w:hAnsi="Times New Roman" w:eastAsia="宋体"/>
          <w:sz w:val="24"/>
          <w:szCs w:val="24"/>
        </w:rPr>
        <w:t>本项目的所有内容，</w:t>
      </w:r>
      <w:r>
        <w:rPr>
          <w:rFonts w:ascii="Times New Roman" w:hAnsi="Times New Roman" w:eastAsia="宋体"/>
          <w:sz w:val="24"/>
          <w:szCs w:val="24"/>
        </w:rPr>
        <w:t>我</w:t>
      </w:r>
      <w:r>
        <w:rPr>
          <w:rFonts w:hint="eastAsia" w:ascii="Times New Roman" w:hAnsi="Times New Roman" w:eastAsia="宋体"/>
          <w:sz w:val="24"/>
          <w:szCs w:val="24"/>
        </w:rPr>
        <w:t>方的投标报价</w:t>
      </w:r>
      <w:r>
        <w:rPr>
          <w:rFonts w:ascii="Times New Roman" w:hAnsi="Times New Roman" w:eastAsia="宋体"/>
          <w:sz w:val="24"/>
          <w:szCs w:val="24"/>
        </w:rPr>
        <w:t>包括完成该项工作所需</w:t>
      </w:r>
      <w:r>
        <w:rPr>
          <w:rFonts w:hint="eastAsia" w:ascii="Times New Roman" w:hAnsi="Times New Roman" w:eastAsia="宋体"/>
          <w:sz w:val="24"/>
          <w:szCs w:val="24"/>
        </w:rPr>
        <w:t>全部</w:t>
      </w:r>
      <w:r>
        <w:rPr>
          <w:rFonts w:ascii="Times New Roman" w:hAnsi="Times New Roman" w:eastAsia="宋体"/>
          <w:sz w:val="24"/>
          <w:szCs w:val="24"/>
        </w:rPr>
        <w:t>的</w:t>
      </w:r>
      <w:r>
        <w:rPr>
          <w:rFonts w:hint="eastAsia" w:ascii="Times New Roman" w:hAnsi="Times New Roman" w:eastAsia="宋体"/>
          <w:sz w:val="24"/>
          <w:szCs w:val="24"/>
        </w:rPr>
        <w:t>设备、材料、附配件</w:t>
      </w:r>
      <w:r>
        <w:rPr>
          <w:rFonts w:ascii="Times New Roman" w:hAnsi="Times New Roman" w:eastAsia="宋体"/>
          <w:sz w:val="24"/>
          <w:szCs w:val="24"/>
        </w:rPr>
        <w:t>及</w:t>
      </w:r>
      <w:r>
        <w:rPr>
          <w:rFonts w:hint="eastAsia" w:ascii="Times New Roman" w:hAnsi="Times New Roman" w:eastAsia="宋体"/>
          <w:sz w:val="24"/>
          <w:szCs w:val="24"/>
        </w:rPr>
        <w:t>其人工、机械、运输、仓储、</w:t>
      </w:r>
      <w:r>
        <w:rPr>
          <w:rFonts w:ascii="Times New Roman" w:hAnsi="Times New Roman" w:eastAsia="宋体"/>
          <w:sz w:val="24"/>
          <w:szCs w:val="24"/>
        </w:rPr>
        <w:t>保险、劳保、</w:t>
      </w:r>
      <w:r>
        <w:rPr>
          <w:rFonts w:hint="eastAsia" w:ascii="Times New Roman" w:hAnsi="Times New Roman" w:eastAsia="宋体"/>
          <w:sz w:val="24"/>
          <w:szCs w:val="24"/>
        </w:rPr>
        <w:t>协助对设备</w:t>
      </w:r>
      <w:r>
        <w:rPr>
          <w:rFonts w:ascii="Times New Roman" w:hAnsi="Times New Roman" w:eastAsia="宋体"/>
          <w:sz w:val="24"/>
          <w:szCs w:val="24"/>
        </w:rPr>
        <w:t>安装</w:t>
      </w:r>
      <w:r>
        <w:rPr>
          <w:rFonts w:hint="eastAsia" w:ascii="Times New Roman" w:hAnsi="Times New Roman" w:eastAsia="宋体"/>
          <w:sz w:val="24"/>
          <w:szCs w:val="24"/>
        </w:rPr>
        <w:t>和</w:t>
      </w:r>
      <w:r>
        <w:rPr>
          <w:rFonts w:ascii="Times New Roman" w:hAnsi="Times New Roman" w:eastAsia="宋体"/>
          <w:sz w:val="24"/>
          <w:szCs w:val="24"/>
        </w:rPr>
        <w:t>调试、</w:t>
      </w:r>
      <w:r>
        <w:rPr>
          <w:rFonts w:hint="eastAsia" w:ascii="Times New Roman" w:hAnsi="Times New Roman" w:eastAsia="宋体"/>
          <w:sz w:val="24"/>
          <w:szCs w:val="24"/>
        </w:rPr>
        <w:t>售后服务、各种税费及政策性文件规定及合同包含的所有风险、责任等各项应有费用</w:t>
      </w:r>
      <w:r>
        <w:rPr>
          <w:rFonts w:ascii="Times New Roman" w:hAnsi="Times New Roman" w:eastAsia="宋体"/>
          <w:sz w:val="24"/>
          <w:szCs w:val="24"/>
        </w:rPr>
        <w:t>。</w:t>
      </w:r>
    </w:p>
    <w:p w14:paraId="56DA85ED">
      <w:pPr>
        <w:pStyle w:val="138"/>
        <w:spacing w:line="380" w:lineRule="exact"/>
        <w:ind w:firstLine="480" w:firstLineChars="200"/>
        <w:rPr>
          <w:rFonts w:ascii="Times New Roman" w:hAnsi="Times New Roman" w:eastAsia="宋体"/>
          <w:sz w:val="24"/>
          <w:szCs w:val="24"/>
        </w:rPr>
      </w:pPr>
      <w:r>
        <w:rPr>
          <w:rFonts w:ascii="Times New Roman" w:hAnsi="Times New Roman" w:eastAsia="宋体"/>
          <w:sz w:val="24"/>
          <w:szCs w:val="24"/>
        </w:rPr>
        <w:t>2、如果我</w:t>
      </w:r>
      <w:r>
        <w:rPr>
          <w:rFonts w:hint="eastAsia" w:ascii="Times New Roman" w:hAnsi="Times New Roman" w:eastAsia="宋体"/>
          <w:sz w:val="24"/>
          <w:szCs w:val="24"/>
        </w:rPr>
        <w:t>方</w:t>
      </w:r>
      <w:r>
        <w:rPr>
          <w:rFonts w:ascii="Times New Roman" w:hAnsi="Times New Roman" w:eastAsia="宋体"/>
          <w:sz w:val="24"/>
          <w:szCs w:val="24"/>
        </w:rPr>
        <w:t>的投标书被接受，我</w:t>
      </w:r>
      <w:r>
        <w:rPr>
          <w:rFonts w:hint="eastAsia" w:ascii="Times New Roman" w:hAnsi="Times New Roman" w:eastAsia="宋体"/>
          <w:sz w:val="24"/>
          <w:szCs w:val="24"/>
        </w:rPr>
        <w:t>方</w:t>
      </w:r>
      <w:r>
        <w:rPr>
          <w:rFonts w:ascii="Times New Roman" w:hAnsi="Times New Roman" w:eastAsia="宋体"/>
          <w:sz w:val="24"/>
          <w:szCs w:val="24"/>
        </w:rPr>
        <w:t>将严格履行招标文件中规定的每一项要求，严格履行合同的责任和义务，保证按期、按质履行合同，完成</w:t>
      </w:r>
      <w:r>
        <w:rPr>
          <w:rFonts w:hint="eastAsia" w:ascii="Times New Roman" w:hAnsi="Times New Roman" w:eastAsia="宋体"/>
          <w:sz w:val="24"/>
          <w:szCs w:val="24"/>
        </w:rPr>
        <w:t>合同内容所规定</w:t>
      </w:r>
      <w:r>
        <w:rPr>
          <w:rFonts w:ascii="Times New Roman" w:hAnsi="Times New Roman" w:eastAsia="宋体"/>
          <w:sz w:val="24"/>
          <w:szCs w:val="24"/>
        </w:rPr>
        <w:t>的全部工作。</w:t>
      </w:r>
    </w:p>
    <w:p w14:paraId="23D972C0">
      <w:pPr>
        <w:pStyle w:val="138"/>
        <w:spacing w:line="380" w:lineRule="exact"/>
        <w:ind w:firstLine="480" w:firstLineChars="200"/>
        <w:rPr>
          <w:rFonts w:ascii="Times New Roman" w:hAnsi="Times New Roman" w:eastAsia="宋体"/>
          <w:sz w:val="24"/>
          <w:szCs w:val="24"/>
        </w:rPr>
      </w:pPr>
      <w:r>
        <w:rPr>
          <w:rFonts w:ascii="Times New Roman" w:hAnsi="Times New Roman" w:eastAsia="宋体"/>
          <w:sz w:val="24"/>
          <w:szCs w:val="24"/>
        </w:rPr>
        <w:t>3、我</w:t>
      </w:r>
      <w:r>
        <w:rPr>
          <w:rFonts w:hint="eastAsia" w:ascii="Times New Roman" w:hAnsi="Times New Roman" w:eastAsia="宋体"/>
          <w:sz w:val="24"/>
          <w:szCs w:val="24"/>
        </w:rPr>
        <w:t>方</w:t>
      </w:r>
      <w:r>
        <w:rPr>
          <w:rFonts w:ascii="Times New Roman" w:hAnsi="Times New Roman" w:eastAsia="宋体"/>
          <w:sz w:val="24"/>
          <w:szCs w:val="24"/>
        </w:rPr>
        <w:t>同意按</w:t>
      </w:r>
      <w:r>
        <w:rPr>
          <w:rFonts w:ascii="Times New Roman" w:hAnsi="宋体" w:eastAsia="宋体"/>
          <w:sz w:val="24"/>
          <w:szCs w:val="24"/>
        </w:rPr>
        <w:t>招标文件中的规定，本投标书的有效期限为开标后</w:t>
      </w:r>
      <w:r>
        <w:rPr>
          <w:rFonts w:hint="eastAsia" w:ascii="Times New Roman" w:hAnsi="Times New Roman" w:eastAsia="宋体"/>
          <w:sz w:val="24"/>
          <w:szCs w:val="24"/>
          <w:u w:val="single"/>
        </w:rPr>
        <w:t>60天，</w:t>
      </w:r>
      <w:r>
        <w:rPr>
          <w:rFonts w:ascii="Times New Roman" w:hAnsi="宋体" w:eastAsia="宋体"/>
          <w:sz w:val="24"/>
          <w:szCs w:val="24"/>
        </w:rPr>
        <w:t>如果</w:t>
      </w: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宋体" w:eastAsia="宋体"/>
          <w:sz w:val="24"/>
          <w:szCs w:val="24"/>
        </w:rPr>
        <w:t>在开标后规定的投标有效期内撤回投标，</w:t>
      </w: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宋体" w:eastAsia="宋体"/>
          <w:sz w:val="24"/>
          <w:szCs w:val="24"/>
        </w:rPr>
        <w:t>的投标保证金可被贵方没收。</w:t>
      </w:r>
    </w:p>
    <w:p w14:paraId="508D3707">
      <w:pPr>
        <w:pStyle w:val="138"/>
        <w:spacing w:line="380" w:lineRule="exact"/>
        <w:ind w:firstLine="480" w:firstLineChars="200"/>
        <w:rPr>
          <w:rFonts w:ascii="Times New Roman" w:hAnsi="Times New Roman" w:eastAsia="宋体"/>
          <w:sz w:val="24"/>
          <w:szCs w:val="24"/>
        </w:rPr>
      </w:pPr>
      <w:r>
        <w:rPr>
          <w:rFonts w:ascii="Times New Roman" w:hAnsi="Times New Roman" w:eastAsia="宋体"/>
          <w:sz w:val="24"/>
          <w:szCs w:val="24"/>
        </w:rPr>
        <w:t>4</w:t>
      </w:r>
      <w:r>
        <w:rPr>
          <w:rFonts w:ascii="Times New Roman" w:hAnsi="宋体" w:eastAsia="宋体"/>
          <w:sz w:val="24"/>
          <w:szCs w:val="24"/>
        </w:rPr>
        <w:t>、</w:t>
      </w: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宋体" w:eastAsia="宋体"/>
          <w:sz w:val="24"/>
          <w:szCs w:val="24"/>
        </w:rPr>
        <w:t>愿意提供招标方在招标文件中要求的所有资料。也同意向贵方提供贵方可能另外要求的与</w:t>
      </w:r>
      <w:r>
        <w:rPr>
          <w:rFonts w:hint="eastAsia" w:ascii="Times New Roman" w:hAnsi="宋体" w:eastAsia="宋体"/>
          <w:sz w:val="24"/>
          <w:szCs w:val="24"/>
        </w:rPr>
        <w:t>我方</w:t>
      </w:r>
      <w:r>
        <w:rPr>
          <w:rFonts w:ascii="Times New Roman" w:hAnsi="宋体" w:eastAsia="宋体"/>
          <w:sz w:val="24"/>
          <w:szCs w:val="24"/>
        </w:rPr>
        <w:t>投标有关的任何证据或资料。并保证所提供的资料全部是真实的、有效的，若有虚假，</w:t>
      </w: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宋体" w:eastAsia="宋体"/>
          <w:sz w:val="24"/>
          <w:szCs w:val="24"/>
        </w:rPr>
        <w:t>愿承担一切责任。</w:t>
      </w:r>
    </w:p>
    <w:p w14:paraId="12529E86">
      <w:pPr>
        <w:pStyle w:val="138"/>
        <w:spacing w:line="380" w:lineRule="exact"/>
        <w:ind w:firstLine="480" w:firstLineChars="200"/>
        <w:rPr>
          <w:rFonts w:ascii="Times New Roman" w:hAnsi="Times New Roman" w:eastAsia="宋体"/>
          <w:sz w:val="24"/>
          <w:szCs w:val="24"/>
        </w:rPr>
      </w:pPr>
      <w:r>
        <w:rPr>
          <w:rFonts w:hint="eastAsia" w:ascii="Times New Roman" w:hAnsi="宋体" w:eastAsia="宋体"/>
          <w:sz w:val="24"/>
          <w:szCs w:val="24"/>
        </w:rPr>
        <w:t>5、</w:t>
      </w: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宋体" w:eastAsia="宋体"/>
          <w:sz w:val="24"/>
          <w:szCs w:val="24"/>
        </w:rPr>
        <w:t>同意因</w:t>
      </w:r>
      <w:r>
        <w:rPr>
          <w:rFonts w:hint="eastAsia" w:ascii="Times New Roman" w:hAnsi="宋体" w:eastAsia="宋体"/>
          <w:sz w:val="24"/>
          <w:szCs w:val="24"/>
        </w:rPr>
        <w:t>运输或装卸过程中的不当</w:t>
      </w:r>
      <w:r>
        <w:rPr>
          <w:rFonts w:ascii="Times New Roman" w:hAnsi="宋体" w:eastAsia="宋体"/>
          <w:sz w:val="24"/>
          <w:szCs w:val="24"/>
        </w:rPr>
        <w:t>，造成</w:t>
      </w:r>
      <w:r>
        <w:rPr>
          <w:rFonts w:hint="eastAsia" w:ascii="Times New Roman" w:hAnsi="宋体" w:eastAsia="宋体"/>
          <w:sz w:val="24"/>
          <w:szCs w:val="24"/>
        </w:rPr>
        <w:t>货物或就位现场</w:t>
      </w:r>
      <w:r>
        <w:rPr>
          <w:rFonts w:ascii="Times New Roman" w:hAnsi="宋体" w:eastAsia="宋体"/>
          <w:sz w:val="24"/>
          <w:szCs w:val="24"/>
        </w:rPr>
        <w:t>的设施、设备等损坏的，</w:t>
      </w:r>
      <w:r>
        <w:rPr>
          <w:rFonts w:hint="eastAsia" w:ascii="Times New Roman" w:hAnsi="宋体" w:eastAsia="宋体"/>
          <w:sz w:val="24"/>
          <w:szCs w:val="24"/>
        </w:rPr>
        <w:t>采购方有权要求</w:t>
      </w:r>
      <w:r>
        <w:rPr>
          <w:rFonts w:ascii="Times New Roman" w:hAnsi="Times New Roman" w:eastAsia="宋体"/>
          <w:sz w:val="24"/>
          <w:szCs w:val="24"/>
        </w:rPr>
        <w:t>我</w:t>
      </w:r>
      <w:r>
        <w:rPr>
          <w:rFonts w:hint="eastAsia" w:ascii="Times New Roman" w:hAnsi="Times New Roman" w:eastAsia="宋体"/>
          <w:sz w:val="24"/>
          <w:szCs w:val="24"/>
        </w:rPr>
        <w:t>方</w:t>
      </w:r>
      <w:r>
        <w:rPr>
          <w:rFonts w:hint="eastAsia" w:ascii="Times New Roman" w:hAnsi="宋体" w:eastAsia="宋体"/>
          <w:sz w:val="24"/>
          <w:szCs w:val="24"/>
        </w:rPr>
        <w:t>全额赔偿</w:t>
      </w:r>
      <w:r>
        <w:rPr>
          <w:rFonts w:ascii="Times New Roman" w:hAnsi="宋体" w:eastAsia="宋体"/>
          <w:sz w:val="24"/>
          <w:szCs w:val="24"/>
        </w:rPr>
        <w:t>。</w:t>
      </w:r>
    </w:p>
    <w:p w14:paraId="34C1A921">
      <w:pPr>
        <w:pStyle w:val="138"/>
        <w:spacing w:line="380" w:lineRule="exact"/>
        <w:ind w:firstLine="480" w:firstLineChars="200"/>
        <w:rPr>
          <w:rFonts w:ascii="Times New Roman" w:hAnsi="Times New Roman" w:eastAsia="宋体"/>
          <w:sz w:val="24"/>
          <w:szCs w:val="24"/>
        </w:rPr>
      </w:pPr>
      <w:r>
        <w:rPr>
          <w:rFonts w:hint="eastAsia" w:ascii="Times New Roman" w:hAnsi="宋体" w:eastAsia="宋体"/>
          <w:sz w:val="24"/>
          <w:szCs w:val="24"/>
        </w:rPr>
        <w:t>6</w:t>
      </w:r>
      <w:r>
        <w:rPr>
          <w:rFonts w:ascii="Times New Roman" w:hAnsi="宋体" w:eastAsia="宋体"/>
          <w:sz w:val="24"/>
          <w:szCs w:val="24"/>
        </w:rPr>
        <w:t>、</w:t>
      </w: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宋体" w:eastAsia="宋体"/>
          <w:sz w:val="24"/>
          <w:szCs w:val="24"/>
        </w:rPr>
        <w:t>愿意遵守招标公告及招标文件中所列的收费标准。</w:t>
      </w:r>
    </w:p>
    <w:p w14:paraId="1EBE11AB">
      <w:pPr>
        <w:pStyle w:val="138"/>
        <w:spacing w:line="38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7</w:t>
      </w:r>
      <w:r>
        <w:rPr>
          <w:rFonts w:ascii="Times New Roman" w:hAnsi="宋体" w:eastAsia="宋体"/>
          <w:sz w:val="24"/>
          <w:szCs w:val="24"/>
        </w:rPr>
        <w:t>、</w:t>
      </w: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宋体" w:eastAsia="宋体"/>
          <w:sz w:val="24"/>
          <w:szCs w:val="24"/>
        </w:rPr>
        <w:t>承诺该项投标在开标后的全过程中保持有效，不作任何更改和变动。</w:t>
      </w:r>
      <w:r>
        <w:rPr>
          <w:rFonts w:ascii="Times New Roman" w:hAnsi="Times New Roman" w:eastAsia="宋体"/>
          <w:sz w:val="24"/>
          <w:szCs w:val="24"/>
        </w:rPr>
        <w:t>我</w:t>
      </w:r>
      <w:r>
        <w:rPr>
          <w:rFonts w:hint="eastAsia" w:ascii="Times New Roman" w:hAnsi="Times New Roman" w:eastAsia="宋体"/>
          <w:sz w:val="24"/>
          <w:szCs w:val="24"/>
        </w:rPr>
        <w:t>方</w:t>
      </w:r>
      <w:r>
        <w:rPr>
          <w:rFonts w:ascii="Times New Roman" w:hAnsi="宋体" w:eastAsia="宋体"/>
          <w:sz w:val="24"/>
          <w:szCs w:val="24"/>
        </w:rPr>
        <w:t>同意中标后若不履行投标文件的内容要求和各项承诺及义务的即被视为违约，</w:t>
      </w:r>
      <w:r>
        <w:rPr>
          <w:rFonts w:hint="eastAsia" w:ascii="Times New Roman" w:hAnsi="宋体" w:eastAsia="宋体"/>
          <w:sz w:val="24"/>
          <w:szCs w:val="24"/>
        </w:rPr>
        <w:t>我方的</w:t>
      </w:r>
      <w:r>
        <w:rPr>
          <w:rFonts w:ascii="Times New Roman" w:hAnsi="宋体" w:eastAsia="宋体"/>
          <w:sz w:val="24"/>
          <w:szCs w:val="24"/>
        </w:rPr>
        <w:t>中标资格将被取消。</w:t>
      </w:r>
    </w:p>
    <w:p w14:paraId="3231FFFA">
      <w:pPr>
        <w:pStyle w:val="138"/>
        <w:spacing w:line="380" w:lineRule="exact"/>
        <w:ind w:firstLine="480" w:firstLineChars="200"/>
        <w:rPr>
          <w:rFonts w:ascii="Times New Roman" w:hAnsi="宋体" w:eastAsia="宋体"/>
          <w:sz w:val="24"/>
          <w:szCs w:val="24"/>
        </w:rPr>
      </w:pPr>
      <w:r>
        <w:rPr>
          <w:rFonts w:hint="eastAsia" w:ascii="Times New Roman" w:hAnsi="宋体" w:eastAsia="宋体"/>
          <w:sz w:val="24"/>
          <w:szCs w:val="24"/>
        </w:rPr>
        <w:t>8</w:t>
      </w:r>
      <w:r>
        <w:rPr>
          <w:rFonts w:ascii="Times New Roman" w:hAnsi="宋体" w:eastAsia="宋体"/>
          <w:sz w:val="24"/>
          <w:szCs w:val="24"/>
        </w:rPr>
        <w:t>、</w:t>
      </w:r>
      <w:r>
        <w:rPr>
          <w:rFonts w:hint="eastAsia" w:ascii="Times New Roman" w:hAnsi="宋体" w:eastAsia="宋体"/>
          <w:sz w:val="24"/>
          <w:szCs w:val="24"/>
        </w:rPr>
        <w:t>我方承诺在参加采购活动前三年内，在经营活动中没有重大违法记录。</w:t>
      </w:r>
    </w:p>
    <w:p w14:paraId="75B0C64C">
      <w:pPr>
        <w:pStyle w:val="138"/>
        <w:spacing w:line="38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9</w:t>
      </w:r>
      <w:r>
        <w:rPr>
          <w:rFonts w:ascii="Times New Roman" w:hAnsi="Times New Roman" w:eastAsia="宋体"/>
          <w:sz w:val="24"/>
          <w:szCs w:val="24"/>
        </w:rPr>
        <w:t>、如果我</w:t>
      </w:r>
      <w:r>
        <w:rPr>
          <w:rFonts w:hint="eastAsia" w:ascii="Times New Roman" w:hAnsi="Times New Roman" w:eastAsia="宋体"/>
          <w:sz w:val="24"/>
          <w:szCs w:val="24"/>
        </w:rPr>
        <w:t>方</w:t>
      </w:r>
      <w:r>
        <w:rPr>
          <w:rFonts w:ascii="Times New Roman" w:hAnsi="Times New Roman" w:eastAsia="宋体"/>
          <w:sz w:val="24"/>
          <w:szCs w:val="24"/>
        </w:rPr>
        <w:t>中标，我</w:t>
      </w:r>
      <w:r>
        <w:rPr>
          <w:rFonts w:hint="eastAsia" w:ascii="Times New Roman" w:hAnsi="Times New Roman" w:eastAsia="宋体"/>
          <w:sz w:val="24"/>
          <w:szCs w:val="24"/>
        </w:rPr>
        <w:t>方</w:t>
      </w:r>
      <w:r>
        <w:rPr>
          <w:rFonts w:ascii="Times New Roman" w:hAnsi="Times New Roman" w:eastAsia="宋体"/>
          <w:sz w:val="24"/>
          <w:szCs w:val="24"/>
        </w:rPr>
        <w:t>愿意按</w:t>
      </w:r>
      <w:r>
        <w:rPr>
          <w:rFonts w:hint="eastAsia" w:ascii="Times New Roman" w:hAnsi="Times New Roman" w:eastAsia="宋体"/>
          <w:sz w:val="24"/>
          <w:szCs w:val="24"/>
        </w:rPr>
        <w:t>招标文件规定</w:t>
      </w:r>
      <w:r>
        <w:rPr>
          <w:rFonts w:ascii="Times New Roman" w:hAnsi="Times New Roman" w:eastAsia="宋体"/>
          <w:sz w:val="24"/>
          <w:szCs w:val="24"/>
        </w:rPr>
        <w:t>支付中标服务费</w:t>
      </w:r>
      <w:r>
        <w:rPr>
          <w:rFonts w:hint="eastAsia" w:ascii="Times New Roman" w:hAnsi="Times New Roman" w:eastAsia="宋体"/>
          <w:sz w:val="24"/>
          <w:szCs w:val="24"/>
        </w:rPr>
        <w:t>，如未按规定缴纳中标服务费，招标代理机构有权没收投标保证金，并可提出诉讼的权力。</w:t>
      </w:r>
    </w:p>
    <w:p w14:paraId="48C181E8">
      <w:pPr>
        <w:pStyle w:val="138"/>
        <w:spacing w:line="380" w:lineRule="exact"/>
        <w:ind w:firstLine="480" w:firstLineChars="200"/>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0</w:t>
      </w:r>
      <w:r>
        <w:rPr>
          <w:rFonts w:ascii="Times New Roman" w:hAnsi="Times New Roman" w:eastAsia="宋体"/>
          <w:sz w:val="24"/>
          <w:szCs w:val="24"/>
        </w:rPr>
        <w:t>、与本投标有关的通讯地址：</w:t>
      </w:r>
    </w:p>
    <w:p w14:paraId="0918AE4E">
      <w:pPr>
        <w:pStyle w:val="138"/>
        <w:spacing w:line="380" w:lineRule="exact"/>
        <w:ind w:firstLine="480" w:firstLineChars="200"/>
        <w:rPr>
          <w:rFonts w:ascii="Times New Roman" w:hAnsi="Times New Roman" w:eastAsia="宋体"/>
          <w:sz w:val="24"/>
          <w:szCs w:val="24"/>
          <w:u w:val="single"/>
        </w:rPr>
      </w:pPr>
      <w:r>
        <w:rPr>
          <w:rFonts w:ascii="Times New Roman" w:hAnsi="宋体" w:eastAsia="宋体"/>
          <w:sz w:val="24"/>
          <w:szCs w:val="24"/>
        </w:rPr>
        <w:t>单</w:t>
      </w:r>
      <w:r>
        <w:rPr>
          <w:rFonts w:hint="eastAsia" w:ascii="Times New Roman" w:hAnsi="宋体" w:eastAsia="宋体"/>
          <w:sz w:val="24"/>
          <w:szCs w:val="24"/>
        </w:rPr>
        <w:t xml:space="preserve">    </w:t>
      </w:r>
      <w:r>
        <w:rPr>
          <w:rFonts w:ascii="Times New Roman" w:hAnsi="宋体" w:eastAsia="宋体"/>
          <w:sz w:val="24"/>
          <w:szCs w:val="24"/>
        </w:rPr>
        <w:t>位：</w:t>
      </w:r>
      <w:r>
        <w:rPr>
          <w:rFonts w:ascii="Times New Roman" w:hAnsi="Times New Roman" w:eastAsia="宋体"/>
          <w:sz w:val="24"/>
          <w:szCs w:val="24"/>
        </w:rPr>
        <w:t xml:space="preserve"> </w:t>
      </w:r>
      <w:r>
        <w:rPr>
          <w:rFonts w:ascii="Times New Roman" w:hAnsi="Times New Roman" w:eastAsia="宋体"/>
          <w:sz w:val="24"/>
          <w:szCs w:val="24"/>
          <w:u w:val="single"/>
        </w:rPr>
        <w:t xml:space="preserve">                                </w:t>
      </w:r>
      <w:r>
        <w:rPr>
          <w:rFonts w:ascii="Times New Roman" w:hAnsi="宋体" w:eastAsia="宋体"/>
          <w:sz w:val="24"/>
          <w:szCs w:val="24"/>
        </w:rPr>
        <w:t>联</w:t>
      </w:r>
      <w:r>
        <w:rPr>
          <w:rFonts w:hint="eastAsia" w:ascii="Times New Roman" w:hAnsi="宋体" w:eastAsia="宋体"/>
          <w:sz w:val="24"/>
          <w:szCs w:val="24"/>
        </w:rPr>
        <w:t xml:space="preserve"> </w:t>
      </w:r>
      <w:r>
        <w:rPr>
          <w:rFonts w:ascii="Times New Roman" w:hAnsi="宋体" w:eastAsia="宋体"/>
          <w:sz w:val="24"/>
          <w:szCs w:val="24"/>
        </w:rPr>
        <w:t>系</w:t>
      </w:r>
      <w:r>
        <w:rPr>
          <w:rFonts w:hint="eastAsia" w:ascii="Times New Roman" w:hAnsi="宋体" w:eastAsia="宋体"/>
          <w:sz w:val="24"/>
          <w:szCs w:val="24"/>
        </w:rPr>
        <w:t xml:space="preserve"> </w:t>
      </w:r>
      <w:r>
        <w:rPr>
          <w:rFonts w:ascii="Times New Roman" w:hAnsi="宋体" w:eastAsia="宋体"/>
          <w:sz w:val="24"/>
          <w:szCs w:val="24"/>
        </w:rPr>
        <w:t>人：</w:t>
      </w:r>
      <w:r>
        <w:rPr>
          <w:rFonts w:ascii="Times New Roman" w:hAnsi="Times New Roman" w:eastAsia="宋体"/>
          <w:sz w:val="24"/>
          <w:szCs w:val="24"/>
          <w:u w:val="single"/>
        </w:rPr>
        <w:t xml:space="preserve">                   </w:t>
      </w:r>
    </w:p>
    <w:p w14:paraId="52DA6A88">
      <w:pPr>
        <w:pStyle w:val="138"/>
        <w:spacing w:line="380" w:lineRule="exact"/>
        <w:ind w:firstLine="480" w:firstLineChars="200"/>
        <w:rPr>
          <w:rFonts w:ascii="Times New Roman" w:hAnsi="Times New Roman" w:eastAsia="宋体"/>
          <w:sz w:val="24"/>
          <w:szCs w:val="24"/>
          <w:u w:val="single"/>
        </w:rPr>
      </w:pPr>
      <w:r>
        <w:rPr>
          <w:rFonts w:ascii="Times New Roman" w:hAnsi="宋体" w:eastAsia="宋体"/>
          <w:sz w:val="24"/>
          <w:szCs w:val="24"/>
        </w:rPr>
        <w:t>地</w:t>
      </w:r>
      <w:r>
        <w:rPr>
          <w:rFonts w:hint="eastAsia" w:ascii="Times New Roman" w:hAnsi="宋体" w:eastAsia="宋体"/>
          <w:sz w:val="24"/>
          <w:szCs w:val="24"/>
        </w:rPr>
        <w:t xml:space="preserve">    </w:t>
      </w:r>
      <w:r>
        <w:rPr>
          <w:rFonts w:ascii="Times New Roman" w:hAnsi="宋体" w:eastAsia="宋体"/>
          <w:sz w:val="24"/>
          <w:szCs w:val="24"/>
        </w:rPr>
        <w:t>址：</w:t>
      </w:r>
      <w:r>
        <w:rPr>
          <w:rFonts w:ascii="Times New Roman" w:hAnsi="Times New Roman" w:eastAsia="宋体"/>
          <w:sz w:val="24"/>
          <w:szCs w:val="24"/>
          <w:u w:val="single"/>
        </w:rPr>
        <w:t xml:space="preserve">                                </w:t>
      </w:r>
      <w:r>
        <w:rPr>
          <w:rFonts w:ascii="Times New Roman" w:hAnsi="Times New Roman" w:eastAsia="宋体"/>
          <w:sz w:val="24"/>
          <w:szCs w:val="24"/>
        </w:rPr>
        <w:t xml:space="preserve"> </w:t>
      </w:r>
      <w:r>
        <w:rPr>
          <w:rFonts w:ascii="Times New Roman" w:hAnsi="宋体" w:eastAsia="宋体"/>
          <w:sz w:val="24"/>
          <w:szCs w:val="24"/>
        </w:rPr>
        <w:t>邮政编码：</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p>
    <w:p w14:paraId="2ED15D54">
      <w:pPr>
        <w:pStyle w:val="138"/>
        <w:spacing w:line="380" w:lineRule="exact"/>
        <w:ind w:firstLine="480" w:firstLineChars="200"/>
        <w:rPr>
          <w:rFonts w:ascii="Times New Roman" w:hAnsi="Times New Roman" w:eastAsia="宋体"/>
          <w:sz w:val="24"/>
          <w:szCs w:val="24"/>
          <w:u w:val="single"/>
        </w:rPr>
      </w:pPr>
      <w:r>
        <w:rPr>
          <w:rFonts w:ascii="Times New Roman" w:hAnsi="宋体" w:eastAsia="宋体"/>
          <w:sz w:val="24"/>
          <w:szCs w:val="24"/>
        </w:rPr>
        <w:t>联系电话：</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r>
        <w:rPr>
          <w:rFonts w:ascii="Times New Roman" w:hAnsi="Times New Roman" w:eastAsia="宋体"/>
          <w:sz w:val="24"/>
          <w:szCs w:val="24"/>
        </w:rPr>
        <w:t xml:space="preserve"> </w:t>
      </w:r>
      <w:r>
        <w:rPr>
          <w:rFonts w:ascii="Times New Roman" w:hAnsi="宋体" w:eastAsia="宋体"/>
          <w:sz w:val="24"/>
          <w:szCs w:val="24"/>
        </w:rPr>
        <w:t>传</w:t>
      </w:r>
      <w:r>
        <w:rPr>
          <w:rFonts w:hint="eastAsia" w:ascii="Times New Roman" w:hAnsi="宋体" w:eastAsia="宋体"/>
          <w:sz w:val="24"/>
          <w:szCs w:val="24"/>
        </w:rPr>
        <w:t xml:space="preserve">    </w:t>
      </w:r>
      <w:r>
        <w:rPr>
          <w:rFonts w:ascii="Times New Roman" w:hAnsi="宋体" w:eastAsia="宋体"/>
          <w:sz w:val="24"/>
          <w:szCs w:val="24"/>
        </w:rPr>
        <w:t>真：</w:t>
      </w:r>
      <w:r>
        <w:rPr>
          <w:rFonts w:ascii="Times New Roman" w:hAnsi="Times New Roman" w:eastAsia="宋体"/>
          <w:sz w:val="24"/>
          <w:szCs w:val="24"/>
          <w:u w:val="single"/>
        </w:rPr>
        <w:t xml:space="preserve">                   </w:t>
      </w:r>
    </w:p>
    <w:p w14:paraId="692E54F0">
      <w:pPr>
        <w:pStyle w:val="138"/>
        <w:spacing w:line="380" w:lineRule="exact"/>
        <w:ind w:firstLine="425"/>
        <w:rPr>
          <w:rFonts w:ascii="Times New Roman" w:hAnsi="Times New Roman" w:eastAsia="宋体"/>
          <w:sz w:val="24"/>
          <w:szCs w:val="24"/>
        </w:rPr>
      </w:pPr>
      <w:r>
        <w:rPr>
          <w:rFonts w:ascii="Times New Roman" w:hAnsi="宋体" w:eastAsia="宋体"/>
          <w:sz w:val="24"/>
          <w:szCs w:val="24"/>
        </w:rPr>
        <w:t>投标</w:t>
      </w:r>
      <w:r>
        <w:rPr>
          <w:rFonts w:hint="eastAsia" w:ascii="Times New Roman" w:hAnsi="宋体" w:eastAsia="宋体"/>
          <w:sz w:val="24"/>
          <w:szCs w:val="24"/>
        </w:rPr>
        <w:t>人</w:t>
      </w:r>
      <w:r>
        <w:rPr>
          <w:rFonts w:ascii="Times New Roman" w:hAnsi="宋体" w:eastAsia="宋体"/>
          <w:sz w:val="24"/>
          <w:szCs w:val="24"/>
        </w:rPr>
        <w:t>：（</w:t>
      </w:r>
      <w:r>
        <w:rPr>
          <w:rFonts w:hint="eastAsia" w:ascii="Times New Roman" w:hAnsi="宋体" w:eastAsia="宋体"/>
          <w:sz w:val="24"/>
          <w:szCs w:val="24"/>
        </w:rPr>
        <w:t>公</w:t>
      </w:r>
      <w:r>
        <w:rPr>
          <w:rFonts w:ascii="Times New Roman" w:hAnsi="宋体" w:eastAsia="宋体"/>
          <w:sz w:val="24"/>
          <w:szCs w:val="24"/>
        </w:rPr>
        <w:t>章）</w:t>
      </w:r>
    </w:p>
    <w:p w14:paraId="2710772E">
      <w:pPr>
        <w:pStyle w:val="138"/>
        <w:spacing w:line="380" w:lineRule="exact"/>
        <w:ind w:firstLine="420"/>
        <w:rPr>
          <w:rFonts w:ascii="Times New Roman" w:hAnsi="宋体" w:eastAsia="宋体"/>
          <w:sz w:val="24"/>
          <w:szCs w:val="24"/>
        </w:rPr>
      </w:pPr>
      <w:r>
        <w:rPr>
          <w:rFonts w:ascii="Times New Roman" w:hAnsi="Times New Roman" w:eastAsia="宋体"/>
          <w:sz w:val="24"/>
          <w:szCs w:val="24"/>
        </w:rPr>
        <w:t>单位法定代表人或授权委托人：（签字或</w:t>
      </w:r>
      <w:r>
        <w:rPr>
          <w:rFonts w:hint="eastAsia" w:ascii="Times New Roman" w:hAnsi="Times New Roman" w:eastAsia="宋体"/>
          <w:sz w:val="24"/>
          <w:szCs w:val="24"/>
        </w:rPr>
        <w:t>签章</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ascii="Times New Roman" w:hAnsi="Times New Roman" w:eastAsia="宋体"/>
          <w:sz w:val="24"/>
          <w:szCs w:val="24"/>
        </w:rPr>
        <w:t>年     月     日</w:t>
      </w:r>
    </w:p>
    <w:p w14:paraId="0DFD3493">
      <w:pPr>
        <w:widowControl w:val="0"/>
        <w:autoSpaceDE w:val="0"/>
        <w:autoSpaceDN w:val="0"/>
        <w:adjustRightInd w:val="0"/>
        <w:spacing w:line="360" w:lineRule="auto"/>
        <w:jc w:val="both"/>
        <w:rPr>
          <w:b/>
          <w:szCs w:val="24"/>
        </w:rPr>
      </w:pPr>
      <w:r>
        <w:rPr>
          <w:szCs w:val="24"/>
          <w:lang w:val="zh-CN"/>
        </w:rPr>
        <w:br w:type="page"/>
      </w:r>
      <w:r>
        <w:rPr>
          <w:b/>
          <w:szCs w:val="24"/>
          <w:lang w:val="zh-CN"/>
        </w:rPr>
        <w:t>格式2、</w:t>
      </w:r>
      <w:r>
        <w:rPr>
          <w:b/>
          <w:szCs w:val="24"/>
        </w:rPr>
        <w:t>法人授权委托书</w:t>
      </w:r>
    </w:p>
    <w:p w14:paraId="2DAD5483">
      <w:pPr>
        <w:widowControl w:val="0"/>
        <w:autoSpaceDE w:val="0"/>
        <w:autoSpaceDN w:val="0"/>
        <w:adjustRightInd w:val="0"/>
        <w:spacing w:line="360" w:lineRule="auto"/>
        <w:jc w:val="center"/>
        <w:rPr>
          <w:rFonts w:eastAsia="黑体"/>
          <w:b/>
          <w:kern w:val="2"/>
          <w:sz w:val="32"/>
          <w:szCs w:val="32"/>
          <w:lang w:val="zh-CN"/>
        </w:rPr>
      </w:pPr>
      <w:r>
        <w:rPr>
          <w:rFonts w:eastAsia="黑体"/>
          <w:b/>
          <w:kern w:val="2"/>
          <w:sz w:val="32"/>
          <w:szCs w:val="32"/>
          <w:lang w:val="zh-CN"/>
        </w:rPr>
        <w:t>法人授权委托书</w:t>
      </w:r>
    </w:p>
    <w:p w14:paraId="6C686BD3">
      <w:pPr>
        <w:pStyle w:val="9"/>
        <w:overflowPunct w:val="0"/>
        <w:spacing w:line="360" w:lineRule="auto"/>
        <w:jc w:val="center"/>
        <w:rPr>
          <w:rFonts w:eastAsia="宋体"/>
        </w:rPr>
      </w:pPr>
    </w:p>
    <w:p w14:paraId="5D700D91">
      <w:pPr>
        <w:widowControl w:val="0"/>
        <w:autoSpaceDE w:val="0"/>
        <w:autoSpaceDN w:val="0"/>
        <w:adjustRightInd w:val="0"/>
        <w:spacing w:line="360" w:lineRule="auto"/>
        <w:ind w:firstLine="420"/>
        <w:jc w:val="both"/>
        <w:rPr>
          <w:kern w:val="2"/>
          <w:szCs w:val="24"/>
        </w:rPr>
      </w:pPr>
      <w:r>
        <w:rPr>
          <w:kern w:val="2"/>
          <w:szCs w:val="24"/>
          <w:lang w:val="zh-CN"/>
        </w:rPr>
        <w:t xml:space="preserve">本授权委托书声明：我 </w:t>
      </w:r>
      <w:r>
        <w:rPr>
          <w:kern w:val="2"/>
          <w:szCs w:val="24"/>
          <w:u w:val="single"/>
          <w:lang w:val="zh-CN"/>
        </w:rPr>
        <w:t xml:space="preserve">  X   X   X  </w:t>
      </w:r>
      <w:r>
        <w:rPr>
          <w:kern w:val="2"/>
          <w:szCs w:val="24"/>
          <w:lang w:val="zh-CN"/>
        </w:rPr>
        <w:t>（姓名）系</w:t>
      </w:r>
      <w:r>
        <w:rPr>
          <w:kern w:val="2"/>
          <w:szCs w:val="24"/>
          <w:u w:val="single"/>
          <w:lang w:val="zh-CN"/>
        </w:rPr>
        <w:t xml:space="preserve">     X    X    X    </w:t>
      </w:r>
      <w:r>
        <w:rPr>
          <w:kern w:val="2"/>
          <w:szCs w:val="24"/>
          <w:lang w:val="zh-CN"/>
        </w:rPr>
        <w:t>（投标人名称）的法定代表人</w:t>
      </w:r>
      <w:r>
        <w:rPr>
          <w:rFonts w:hint="eastAsia"/>
          <w:kern w:val="2"/>
          <w:szCs w:val="24"/>
          <w:lang w:val="zh-CN"/>
        </w:rPr>
        <w:t>（负责人）</w:t>
      </w:r>
      <w:r>
        <w:rPr>
          <w:kern w:val="2"/>
          <w:szCs w:val="24"/>
          <w:lang w:val="zh-CN"/>
        </w:rPr>
        <w:t>，现授权委托</w:t>
      </w:r>
      <w:r>
        <w:rPr>
          <w:kern w:val="2"/>
          <w:szCs w:val="24"/>
          <w:u w:val="single"/>
          <w:lang w:val="zh-CN"/>
        </w:rPr>
        <w:t xml:space="preserve">   X  X  X   </w:t>
      </w:r>
      <w:r>
        <w:rPr>
          <w:kern w:val="2"/>
          <w:szCs w:val="24"/>
          <w:lang w:val="zh-CN"/>
        </w:rPr>
        <w:t>（姓名）为我公司代理人，以本公司的名义参加苏州市永诚建设咨询有限公司组织实施的编号为</w:t>
      </w:r>
      <w:r>
        <w:rPr>
          <w:kern w:val="2"/>
          <w:szCs w:val="24"/>
          <w:u w:val="single"/>
          <w:lang w:val="zh-CN"/>
        </w:rPr>
        <w:t xml:space="preserve">   X   X   X    </w:t>
      </w:r>
      <w:r>
        <w:rPr>
          <w:kern w:val="2"/>
          <w:szCs w:val="24"/>
          <w:lang w:val="zh-CN"/>
        </w:rPr>
        <w:t>号公开招标的招投标活动。代理人在开标、评标、合同谈判过程中所签署的一切文件和处理与这有关的一切事务，我均予以承认。</w:t>
      </w:r>
    </w:p>
    <w:p w14:paraId="31EED551">
      <w:pPr>
        <w:widowControl w:val="0"/>
        <w:autoSpaceDE w:val="0"/>
        <w:autoSpaceDN w:val="0"/>
        <w:adjustRightInd w:val="0"/>
        <w:spacing w:line="360" w:lineRule="auto"/>
        <w:ind w:firstLine="420"/>
        <w:jc w:val="both"/>
        <w:rPr>
          <w:kern w:val="2"/>
          <w:szCs w:val="24"/>
        </w:rPr>
      </w:pPr>
      <w:r>
        <w:rPr>
          <w:kern w:val="2"/>
          <w:szCs w:val="24"/>
          <w:lang w:val="zh-CN"/>
        </w:rPr>
        <w:t>代理人在授权委托书有效期内签署的所有文件不因授权委托的撤销而失效，除非有撤销授权委托的书面通知，本授权委托书自投标开始至合同履行完毕止。</w:t>
      </w:r>
    </w:p>
    <w:p w14:paraId="728A8F49">
      <w:pPr>
        <w:widowControl w:val="0"/>
        <w:autoSpaceDE w:val="0"/>
        <w:autoSpaceDN w:val="0"/>
        <w:adjustRightInd w:val="0"/>
        <w:spacing w:line="360" w:lineRule="auto"/>
        <w:ind w:firstLine="425"/>
        <w:jc w:val="both"/>
        <w:rPr>
          <w:kern w:val="2"/>
          <w:szCs w:val="24"/>
        </w:rPr>
      </w:pPr>
      <w:r>
        <w:rPr>
          <w:kern w:val="2"/>
          <w:szCs w:val="24"/>
          <w:lang w:val="zh-CN"/>
        </w:rPr>
        <w:t>代理人无转委托权。特此委托。</w:t>
      </w:r>
    </w:p>
    <w:p w14:paraId="7DC0DD59">
      <w:pPr>
        <w:pStyle w:val="9"/>
        <w:overflowPunct w:val="0"/>
        <w:spacing w:line="360" w:lineRule="auto"/>
        <w:rPr>
          <w:rFonts w:eastAsia="宋体"/>
          <w:szCs w:val="24"/>
        </w:rPr>
      </w:pPr>
    </w:p>
    <w:p w14:paraId="5FA423D5">
      <w:pPr>
        <w:pStyle w:val="9"/>
        <w:overflowPunct w:val="0"/>
        <w:spacing w:line="360" w:lineRule="auto"/>
        <w:rPr>
          <w:rFonts w:eastAsia="宋体"/>
          <w:szCs w:val="24"/>
        </w:rPr>
      </w:pPr>
      <w:r>
        <w:rPr>
          <w:rFonts w:eastAsia="宋体"/>
          <w:szCs w:val="24"/>
        </w:rPr>
        <w:t>投标人：（公章）</w:t>
      </w:r>
    </w:p>
    <w:p w14:paraId="4895218F">
      <w:pPr>
        <w:pStyle w:val="9"/>
        <w:overflowPunct w:val="0"/>
        <w:spacing w:line="360" w:lineRule="auto"/>
        <w:rPr>
          <w:rFonts w:eastAsia="宋体"/>
          <w:szCs w:val="24"/>
        </w:rPr>
      </w:pPr>
      <w:r>
        <w:rPr>
          <w:rFonts w:eastAsia="宋体"/>
          <w:szCs w:val="24"/>
        </w:rPr>
        <w:t>法定代表人：（签字或签章）</w:t>
      </w:r>
    </w:p>
    <w:p w14:paraId="59B40BF4">
      <w:pPr>
        <w:pStyle w:val="9"/>
        <w:overflowPunct w:val="0"/>
        <w:spacing w:line="360" w:lineRule="auto"/>
        <w:rPr>
          <w:rFonts w:eastAsia="宋体"/>
          <w:szCs w:val="24"/>
        </w:rPr>
      </w:pPr>
      <w:r>
        <w:rPr>
          <w:rFonts w:eastAsia="宋体"/>
          <w:szCs w:val="24"/>
        </w:rPr>
        <w:t>授权委托人：（签字或签章）</w:t>
      </w:r>
    </w:p>
    <w:p w14:paraId="1F00E684">
      <w:pPr>
        <w:pStyle w:val="9"/>
        <w:overflowPunct w:val="0"/>
        <w:spacing w:line="360" w:lineRule="auto"/>
        <w:jc w:val="right"/>
        <w:rPr>
          <w:rFonts w:eastAsia="宋体"/>
          <w:szCs w:val="24"/>
        </w:rPr>
      </w:pPr>
    </w:p>
    <w:p w14:paraId="7F64279A">
      <w:pPr>
        <w:pStyle w:val="9"/>
        <w:overflowPunct w:val="0"/>
        <w:spacing w:line="360" w:lineRule="auto"/>
        <w:jc w:val="center"/>
        <w:rPr>
          <w:rFonts w:eastAsia="宋体"/>
          <w:szCs w:val="24"/>
        </w:rPr>
      </w:pPr>
      <w:r>
        <w:rPr>
          <w:szCs w:val="24"/>
        </w:rPr>
        <w:t xml:space="preserve">                                      </w:t>
      </w:r>
      <w:r>
        <w:rPr>
          <w:rFonts w:eastAsia="宋体"/>
          <w:szCs w:val="24"/>
        </w:rPr>
        <w:t xml:space="preserve"> 年    月    日</w:t>
      </w:r>
    </w:p>
    <w:p w14:paraId="040D4CEB">
      <w:pPr>
        <w:widowControl w:val="0"/>
        <w:autoSpaceDE w:val="0"/>
        <w:autoSpaceDN w:val="0"/>
        <w:adjustRightInd w:val="0"/>
        <w:spacing w:line="360" w:lineRule="auto"/>
        <w:jc w:val="both"/>
        <w:rPr>
          <w:b/>
          <w:szCs w:val="24"/>
          <w:lang w:val="zh-CN"/>
        </w:rPr>
      </w:pPr>
      <w:r>
        <w:rPr>
          <w:kern w:val="2"/>
          <w:szCs w:val="24"/>
        </w:rPr>
        <w:br w:type="page"/>
      </w:r>
      <w:r>
        <w:rPr>
          <w:b/>
          <w:szCs w:val="24"/>
          <w:lang w:val="zh-CN"/>
        </w:rPr>
        <w:t>格式3、开标一览表</w:t>
      </w:r>
    </w:p>
    <w:p w14:paraId="44B176AB">
      <w:pPr>
        <w:pStyle w:val="9"/>
        <w:overflowPunct w:val="0"/>
        <w:spacing w:line="360" w:lineRule="auto"/>
        <w:ind w:firstLine="0"/>
        <w:jc w:val="center"/>
        <w:rPr>
          <w:rFonts w:ascii="楷体_GB2312" w:hAnsi="楷体_GB2312" w:cs="楷体_GB2312"/>
          <w:b/>
          <w:sz w:val="32"/>
          <w:szCs w:val="32"/>
        </w:rPr>
      </w:pPr>
      <w:r>
        <w:rPr>
          <w:rFonts w:hint="eastAsia" w:ascii="楷体_GB2312" w:hAnsi="楷体_GB2312" w:cs="楷体_GB2312"/>
          <w:b/>
          <w:sz w:val="32"/>
          <w:szCs w:val="32"/>
        </w:rPr>
        <w:t>开标一览表</w:t>
      </w:r>
    </w:p>
    <w:p w14:paraId="45BBF1DE">
      <w:pPr>
        <w:spacing w:before="100" w:beforeAutospacing="1" w:after="100" w:afterAutospacing="1" w:line="285" w:lineRule="atLeast"/>
        <w:ind w:right="210"/>
        <w:jc w:val="right"/>
        <w:rPr>
          <w:kern w:val="2"/>
          <w:szCs w:val="24"/>
          <w:lang w:val="zh-CN"/>
        </w:rPr>
      </w:pPr>
      <w:r>
        <w:rPr>
          <w:rFonts w:hint="eastAsia"/>
          <w:kern w:val="2"/>
          <w:szCs w:val="24"/>
          <w:lang w:val="zh-CN"/>
        </w:rPr>
        <w:t>单位：元</w:t>
      </w:r>
    </w:p>
    <w:tbl>
      <w:tblPr>
        <w:tblStyle w:val="56"/>
        <w:tblW w:w="0" w:type="auto"/>
        <w:jc w:val="center"/>
        <w:tblLayout w:type="fixed"/>
        <w:tblCellMar>
          <w:top w:w="0" w:type="dxa"/>
          <w:left w:w="0" w:type="dxa"/>
          <w:bottom w:w="0" w:type="dxa"/>
          <w:right w:w="0" w:type="dxa"/>
        </w:tblCellMar>
      </w:tblPr>
      <w:tblGrid>
        <w:gridCol w:w="3493"/>
        <w:gridCol w:w="1205"/>
        <w:gridCol w:w="1843"/>
        <w:gridCol w:w="3260"/>
      </w:tblGrid>
      <w:tr w14:paraId="4EC0B495">
        <w:tblPrEx>
          <w:tblCellMar>
            <w:top w:w="0" w:type="dxa"/>
            <w:left w:w="0" w:type="dxa"/>
            <w:bottom w:w="0" w:type="dxa"/>
            <w:right w:w="0" w:type="dxa"/>
          </w:tblCellMar>
        </w:tblPrEx>
        <w:trPr>
          <w:trHeight w:val="568" w:hRule="atLeast"/>
          <w:jc w:val="center"/>
        </w:trPr>
        <w:tc>
          <w:tcPr>
            <w:tcW w:w="34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60A9D0">
            <w:pPr>
              <w:spacing w:before="100" w:beforeAutospacing="1" w:after="100" w:afterAutospacing="1" w:line="285" w:lineRule="atLeast"/>
              <w:jc w:val="center"/>
              <w:rPr>
                <w:kern w:val="2"/>
                <w:szCs w:val="24"/>
                <w:lang w:val="zh-CN"/>
              </w:rPr>
            </w:pPr>
            <w:r>
              <w:rPr>
                <w:rFonts w:hint="eastAsia"/>
                <w:kern w:val="2"/>
                <w:szCs w:val="24"/>
                <w:lang w:val="zh-CN"/>
              </w:rPr>
              <w:t>项目名称及招标编号</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17043DA4">
            <w:pPr>
              <w:spacing w:before="100" w:beforeAutospacing="1" w:after="100" w:afterAutospacing="1" w:line="285" w:lineRule="atLeast"/>
              <w:jc w:val="center"/>
              <w:rPr>
                <w:kern w:val="2"/>
                <w:szCs w:val="24"/>
                <w:lang w:val="zh-CN"/>
              </w:rPr>
            </w:pPr>
            <w:r>
              <w:rPr>
                <w:rFonts w:hint="eastAsia"/>
                <w:kern w:val="2"/>
                <w:szCs w:val="24"/>
                <w:lang w:val="zh-CN"/>
              </w:rPr>
              <w:t>单位</w:t>
            </w:r>
          </w:p>
        </w:tc>
        <w:tc>
          <w:tcPr>
            <w:tcW w:w="1843" w:type="dxa"/>
            <w:tcBorders>
              <w:top w:val="single" w:color="auto" w:sz="8" w:space="0"/>
              <w:left w:val="single" w:color="auto" w:sz="4" w:space="0"/>
              <w:bottom w:val="single" w:color="auto" w:sz="8" w:space="0"/>
              <w:right w:val="single" w:color="auto" w:sz="8" w:space="0"/>
            </w:tcBorders>
            <w:vAlign w:val="center"/>
          </w:tcPr>
          <w:p w14:paraId="62F84B22">
            <w:pPr>
              <w:spacing w:before="100" w:beforeAutospacing="1" w:after="100" w:afterAutospacing="1" w:line="285" w:lineRule="atLeast"/>
              <w:jc w:val="center"/>
              <w:rPr>
                <w:kern w:val="2"/>
                <w:szCs w:val="24"/>
                <w:lang w:val="zh-CN"/>
              </w:rPr>
            </w:pPr>
            <w:r>
              <w:rPr>
                <w:rFonts w:hint="eastAsia"/>
                <w:kern w:val="2"/>
                <w:szCs w:val="24"/>
                <w:lang w:val="zh-CN"/>
              </w:rPr>
              <w:t>报价（元）</w:t>
            </w: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BD24FA">
            <w:pPr>
              <w:spacing w:before="100" w:beforeAutospacing="1" w:after="100" w:afterAutospacing="1" w:line="285" w:lineRule="atLeast"/>
              <w:jc w:val="center"/>
              <w:rPr>
                <w:kern w:val="2"/>
                <w:szCs w:val="24"/>
                <w:lang w:val="zh-CN"/>
              </w:rPr>
            </w:pPr>
            <w:r>
              <w:rPr>
                <w:rFonts w:hAnsi="宋体"/>
                <w:szCs w:val="24"/>
              </w:rPr>
              <w:t>备注</w:t>
            </w:r>
          </w:p>
        </w:tc>
      </w:tr>
      <w:tr w14:paraId="321768DF">
        <w:tblPrEx>
          <w:tblCellMar>
            <w:top w:w="0" w:type="dxa"/>
            <w:left w:w="0" w:type="dxa"/>
            <w:bottom w:w="0" w:type="dxa"/>
            <w:right w:w="0" w:type="dxa"/>
          </w:tblCellMar>
        </w:tblPrEx>
        <w:trPr>
          <w:trHeight w:val="682"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489808">
            <w:pPr>
              <w:spacing w:before="100" w:beforeAutospacing="1" w:after="100" w:afterAutospacing="1" w:line="285" w:lineRule="atLeast"/>
              <w:jc w:val="center"/>
              <w:rPr>
                <w:kern w:val="2"/>
                <w:szCs w:val="24"/>
                <w:lang w:val="zh-CN"/>
              </w:rPr>
            </w:pPr>
            <w:r>
              <w:rPr>
                <w:rFonts w:hint="eastAsia"/>
                <w:kern w:val="2"/>
                <w:szCs w:val="24"/>
              </w:rPr>
              <w:t>维抢修队伍基础服务费</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0E89E32C">
            <w:pPr>
              <w:spacing w:before="100" w:beforeAutospacing="1" w:after="100" w:afterAutospacing="1" w:line="285" w:lineRule="atLeast"/>
              <w:jc w:val="center"/>
              <w:rPr>
                <w:kern w:val="2"/>
                <w:szCs w:val="24"/>
                <w:lang w:val="zh-CN"/>
              </w:rPr>
            </w:pPr>
            <w:r>
              <w:rPr>
                <w:rFonts w:hint="eastAsia"/>
                <w:kern w:val="2"/>
                <w:szCs w:val="24"/>
                <w:lang w:val="zh-CN"/>
              </w:rPr>
              <w:t>年</w:t>
            </w:r>
          </w:p>
        </w:tc>
        <w:tc>
          <w:tcPr>
            <w:tcW w:w="1843" w:type="dxa"/>
            <w:tcBorders>
              <w:top w:val="single" w:color="auto" w:sz="8" w:space="0"/>
              <w:left w:val="single" w:color="auto" w:sz="4" w:space="0"/>
              <w:bottom w:val="single" w:color="auto" w:sz="8" w:space="0"/>
              <w:right w:val="single" w:color="auto" w:sz="8" w:space="0"/>
            </w:tcBorders>
            <w:vAlign w:val="center"/>
          </w:tcPr>
          <w:p w14:paraId="06A93C06">
            <w:pPr>
              <w:spacing w:before="100" w:beforeAutospacing="1" w:after="100" w:afterAutospacing="1" w:line="285" w:lineRule="atLeast"/>
              <w:jc w:val="center"/>
              <w:rPr>
                <w:kern w:val="2"/>
                <w:szCs w:val="24"/>
                <w:lang w:val="zh-CN"/>
              </w:rPr>
            </w:pPr>
            <w:r>
              <w:rPr>
                <w:rFonts w:hint="eastAsia"/>
                <w:kern w:val="2"/>
                <w:szCs w:val="24"/>
                <w:lang w:val="zh-CN"/>
              </w:rPr>
              <w:t xml:space="preserve"> </w:t>
            </w: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304B73">
            <w:pPr>
              <w:spacing w:before="100" w:beforeAutospacing="1" w:after="100" w:afterAutospacing="1" w:line="285" w:lineRule="atLeast"/>
              <w:jc w:val="center"/>
              <w:rPr>
                <w:kern w:val="2"/>
                <w:szCs w:val="24"/>
                <w:lang w:val="zh-CN"/>
              </w:rPr>
            </w:pPr>
            <w:r>
              <w:rPr>
                <w:rFonts w:hint="eastAsia"/>
                <w:kern w:val="2"/>
                <w:szCs w:val="24"/>
                <w:lang w:val="zh-CN"/>
              </w:rPr>
              <w:t>一年的总费用（包含机械）</w:t>
            </w:r>
          </w:p>
        </w:tc>
      </w:tr>
      <w:tr w14:paraId="1E3A7E51">
        <w:tblPrEx>
          <w:tblCellMar>
            <w:top w:w="0" w:type="dxa"/>
            <w:left w:w="0" w:type="dxa"/>
            <w:bottom w:w="0" w:type="dxa"/>
            <w:right w:w="0" w:type="dxa"/>
          </w:tblCellMar>
        </w:tblPrEx>
        <w:trPr>
          <w:trHeight w:val="682" w:hRule="atLeast"/>
          <w:jc w:val="center"/>
        </w:trPr>
        <w:tc>
          <w:tcPr>
            <w:tcW w:w="9801"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513934">
            <w:pPr>
              <w:spacing w:before="100" w:beforeAutospacing="1" w:after="100" w:afterAutospacing="1" w:line="285" w:lineRule="atLeast"/>
              <w:rPr>
                <w:kern w:val="2"/>
                <w:szCs w:val="24"/>
                <w:lang w:val="zh-CN"/>
              </w:rPr>
            </w:pPr>
            <w:r>
              <w:t>人工</w:t>
            </w:r>
          </w:p>
        </w:tc>
      </w:tr>
      <w:tr w14:paraId="382EFC5B">
        <w:tblPrEx>
          <w:tblCellMar>
            <w:top w:w="0" w:type="dxa"/>
            <w:left w:w="0" w:type="dxa"/>
            <w:bottom w:w="0" w:type="dxa"/>
            <w:right w:w="0" w:type="dxa"/>
          </w:tblCellMar>
        </w:tblPrEx>
        <w:trPr>
          <w:trHeight w:val="682"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0AD665">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焊工</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428950BE">
            <w:pPr>
              <w:spacing w:before="100" w:beforeAutospacing="1" w:after="100" w:afterAutospacing="1" w:line="285" w:lineRule="atLeast"/>
              <w:jc w:val="center"/>
              <w:rPr>
                <w:kern w:val="2"/>
                <w:szCs w:val="24"/>
                <w:lang w:val="zh-CN"/>
              </w:rPr>
            </w:pPr>
            <w:r>
              <w:t>工日</w:t>
            </w:r>
          </w:p>
        </w:tc>
        <w:tc>
          <w:tcPr>
            <w:tcW w:w="1843" w:type="dxa"/>
            <w:tcBorders>
              <w:top w:val="single" w:color="auto" w:sz="8" w:space="0"/>
              <w:left w:val="single" w:color="auto" w:sz="4" w:space="0"/>
              <w:bottom w:val="single" w:color="auto" w:sz="8" w:space="0"/>
              <w:right w:val="single" w:color="auto" w:sz="8" w:space="0"/>
            </w:tcBorders>
            <w:vAlign w:val="center"/>
          </w:tcPr>
          <w:p w14:paraId="27598F9E">
            <w:pPr>
              <w:spacing w:before="100" w:beforeAutospacing="1" w:after="100" w:afterAutospacing="1" w:line="285" w:lineRule="atLeast"/>
              <w:jc w:val="center"/>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2BFC15">
            <w:pPr>
              <w:spacing w:before="100" w:beforeAutospacing="1" w:after="100" w:afterAutospacing="1" w:line="285" w:lineRule="atLeast"/>
              <w:jc w:val="center"/>
              <w:rPr>
                <w:kern w:val="2"/>
                <w:szCs w:val="24"/>
                <w:lang w:val="zh-CN"/>
              </w:rPr>
            </w:pPr>
          </w:p>
        </w:tc>
      </w:tr>
      <w:tr w14:paraId="75358CBA">
        <w:tblPrEx>
          <w:tblCellMar>
            <w:top w:w="0" w:type="dxa"/>
            <w:left w:w="0" w:type="dxa"/>
            <w:bottom w:w="0" w:type="dxa"/>
            <w:right w:w="0" w:type="dxa"/>
          </w:tblCellMar>
        </w:tblPrEx>
        <w:trPr>
          <w:trHeight w:val="693"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6A204D">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hint="eastAsia" w:ascii="Times New Roman" w:hAnsi="Times New Roman" w:eastAsia="宋体" w:cs="Times New Roman"/>
                <w:kern w:val="2"/>
                <w:sz w:val="24"/>
                <w:szCs w:val="24"/>
                <w:lang w:val="en-US" w:bidi="ar-SA"/>
              </w:rPr>
              <w:t>PE焊工</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6EBD3F04">
            <w:pPr>
              <w:spacing w:before="100" w:beforeAutospacing="1" w:after="100" w:afterAutospacing="1" w:line="285" w:lineRule="atLeast"/>
              <w:jc w:val="center"/>
              <w:rPr>
                <w:kern w:val="2"/>
                <w:szCs w:val="24"/>
                <w:lang w:val="zh-CN"/>
              </w:rPr>
            </w:pPr>
            <w:r>
              <w:t>工日</w:t>
            </w:r>
          </w:p>
        </w:tc>
        <w:tc>
          <w:tcPr>
            <w:tcW w:w="1843" w:type="dxa"/>
            <w:tcBorders>
              <w:top w:val="single" w:color="auto" w:sz="8" w:space="0"/>
              <w:left w:val="single" w:color="auto" w:sz="4" w:space="0"/>
              <w:bottom w:val="single" w:color="auto" w:sz="8" w:space="0"/>
              <w:right w:val="single" w:color="auto" w:sz="8" w:space="0"/>
            </w:tcBorders>
            <w:vAlign w:val="center"/>
          </w:tcPr>
          <w:p w14:paraId="0BDB4798">
            <w:pPr>
              <w:spacing w:before="100" w:beforeAutospacing="1" w:after="100" w:afterAutospacing="1" w:line="285" w:lineRule="atLeast"/>
              <w:jc w:val="center"/>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A388497">
            <w:pPr>
              <w:spacing w:before="100" w:beforeAutospacing="1" w:after="100" w:afterAutospacing="1" w:line="285" w:lineRule="atLeast"/>
              <w:rPr>
                <w:kern w:val="2"/>
                <w:szCs w:val="24"/>
                <w:lang w:val="zh-CN"/>
              </w:rPr>
            </w:pPr>
          </w:p>
        </w:tc>
      </w:tr>
      <w:tr w14:paraId="7C07D2F4">
        <w:tblPrEx>
          <w:tblCellMar>
            <w:top w:w="0" w:type="dxa"/>
            <w:left w:w="0" w:type="dxa"/>
            <w:bottom w:w="0" w:type="dxa"/>
            <w:right w:w="0" w:type="dxa"/>
          </w:tblCellMar>
        </w:tblPrEx>
        <w:trPr>
          <w:trHeight w:val="702"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1855CF">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管工</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496EA89">
            <w:pPr>
              <w:spacing w:before="100" w:beforeAutospacing="1" w:after="100" w:afterAutospacing="1" w:line="285" w:lineRule="atLeast"/>
              <w:jc w:val="center"/>
              <w:rPr>
                <w:kern w:val="2"/>
                <w:szCs w:val="24"/>
                <w:lang w:val="zh-CN"/>
              </w:rPr>
            </w:pPr>
            <w:r>
              <w:t>工日</w:t>
            </w:r>
          </w:p>
        </w:tc>
        <w:tc>
          <w:tcPr>
            <w:tcW w:w="1843" w:type="dxa"/>
            <w:tcBorders>
              <w:top w:val="single" w:color="auto" w:sz="8" w:space="0"/>
              <w:left w:val="single" w:color="auto" w:sz="4" w:space="0"/>
              <w:bottom w:val="single" w:color="auto" w:sz="8" w:space="0"/>
              <w:right w:val="single" w:color="auto" w:sz="8" w:space="0"/>
            </w:tcBorders>
            <w:vAlign w:val="center"/>
          </w:tcPr>
          <w:p w14:paraId="6021A75E">
            <w:pPr>
              <w:spacing w:before="100" w:beforeAutospacing="1" w:after="100" w:afterAutospacing="1" w:line="285" w:lineRule="atLeast"/>
              <w:jc w:val="center"/>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816965">
            <w:pPr>
              <w:spacing w:before="100" w:beforeAutospacing="1" w:after="100" w:afterAutospacing="1" w:line="285" w:lineRule="atLeast"/>
              <w:rPr>
                <w:kern w:val="2"/>
                <w:szCs w:val="24"/>
                <w:lang w:val="zh-CN"/>
              </w:rPr>
            </w:pPr>
          </w:p>
        </w:tc>
      </w:tr>
      <w:tr w14:paraId="08500968">
        <w:tblPrEx>
          <w:tblCellMar>
            <w:top w:w="0" w:type="dxa"/>
            <w:left w:w="0" w:type="dxa"/>
            <w:bottom w:w="0" w:type="dxa"/>
            <w:right w:w="0" w:type="dxa"/>
          </w:tblCellMar>
        </w:tblPrEx>
        <w:trPr>
          <w:trHeight w:val="538"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14:paraId="13B11603">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辅助工</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95F837B">
            <w:pPr>
              <w:spacing w:before="100" w:beforeAutospacing="1" w:after="100" w:afterAutospacing="1" w:line="285" w:lineRule="atLeast"/>
              <w:jc w:val="center"/>
              <w:rPr>
                <w:kern w:val="2"/>
                <w:szCs w:val="24"/>
                <w:lang w:val="zh-CN"/>
              </w:rPr>
            </w:pPr>
            <w:r>
              <w:t>工日</w:t>
            </w:r>
          </w:p>
        </w:tc>
        <w:tc>
          <w:tcPr>
            <w:tcW w:w="1843" w:type="dxa"/>
            <w:tcBorders>
              <w:top w:val="single" w:color="auto" w:sz="8" w:space="0"/>
              <w:left w:val="single" w:color="auto" w:sz="4" w:space="0"/>
              <w:bottom w:val="single" w:color="auto" w:sz="8" w:space="0"/>
              <w:right w:val="single" w:color="auto" w:sz="8" w:space="0"/>
            </w:tcBorders>
            <w:vAlign w:val="center"/>
          </w:tcPr>
          <w:p w14:paraId="215445EA">
            <w:pPr>
              <w:spacing w:before="100" w:beforeAutospacing="1" w:after="100" w:afterAutospacing="1" w:line="285" w:lineRule="atLeast"/>
              <w:jc w:val="center"/>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BF651E">
            <w:pPr>
              <w:spacing w:before="100" w:beforeAutospacing="1" w:after="100" w:afterAutospacing="1" w:line="285" w:lineRule="atLeast"/>
              <w:rPr>
                <w:kern w:val="2"/>
                <w:szCs w:val="24"/>
                <w:lang w:val="zh-CN"/>
              </w:rPr>
            </w:pPr>
          </w:p>
        </w:tc>
      </w:tr>
      <w:tr w14:paraId="437F89D7">
        <w:tblPrEx>
          <w:tblCellMar>
            <w:top w:w="0" w:type="dxa"/>
            <w:left w:w="0" w:type="dxa"/>
            <w:bottom w:w="0" w:type="dxa"/>
            <w:right w:w="0" w:type="dxa"/>
          </w:tblCellMar>
        </w:tblPrEx>
        <w:trPr>
          <w:trHeight w:val="538" w:hRule="atLeast"/>
          <w:jc w:val="center"/>
        </w:trPr>
        <w:tc>
          <w:tcPr>
            <w:tcW w:w="9801"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14:paraId="7F75FACC">
            <w:pPr>
              <w:spacing w:before="100" w:beforeAutospacing="1" w:after="100" w:afterAutospacing="1" w:line="285" w:lineRule="atLeast"/>
              <w:rPr>
                <w:kern w:val="2"/>
                <w:szCs w:val="24"/>
                <w:lang w:val="zh-CN"/>
              </w:rPr>
            </w:pPr>
            <w:r>
              <w:rPr>
                <w:rFonts w:hint="eastAsia"/>
                <w:kern w:val="2"/>
                <w:szCs w:val="24"/>
                <w:lang w:val="zh-CN"/>
              </w:rPr>
              <w:t>合计：</w:t>
            </w:r>
            <w:r>
              <w:rPr>
                <w:rFonts w:hint="eastAsia"/>
                <w:kern w:val="2"/>
                <w:szCs w:val="24"/>
                <w:highlight w:val="none"/>
                <w:lang w:val="zh-CN"/>
              </w:rPr>
              <w:t>（</w:t>
            </w:r>
            <w:r>
              <w:rPr>
                <w:rFonts w:hint="eastAsia"/>
                <w:kern w:val="2"/>
                <w:szCs w:val="24"/>
                <w:highlight w:val="none"/>
                <w:lang w:val="en-US" w:eastAsia="zh-CN"/>
              </w:rPr>
              <w:t>四项相加，权重相同</w:t>
            </w:r>
            <w:r>
              <w:rPr>
                <w:rFonts w:hint="eastAsia"/>
                <w:kern w:val="2"/>
                <w:szCs w:val="24"/>
                <w:highlight w:val="none"/>
                <w:lang w:val="zh-CN"/>
              </w:rPr>
              <w:t>）</w:t>
            </w:r>
          </w:p>
        </w:tc>
      </w:tr>
      <w:tr w14:paraId="20A8AF92">
        <w:tblPrEx>
          <w:tblCellMar>
            <w:top w:w="0" w:type="dxa"/>
            <w:left w:w="0" w:type="dxa"/>
            <w:bottom w:w="0" w:type="dxa"/>
            <w:right w:w="0" w:type="dxa"/>
          </w:tblCellMar>
        </w:tblPrEx>
        <w:trPr>
          <w:trHeight w:val="538" w:hRule="atLeast"/>
          <w:jc w:val="center"/>
        </w:trPr>
        <w:tc>
          <w:tcPr>
            <w:tcW w:w="9801"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14:paraId="1AE946F4">
            <w:pPr>
              <w:spacing w:before="100" w:beforeAutospacing="1" w:after="100" w:afterAutospacing="1" w:line="285" w:lineRule="atLeast"/>
              <w:rPr>
                <w:kern w:val="2"/>
                <w:szCs w:val="24"/>
                <w:lang w:val="zh-CN"/>
              </w:rPr>
            </w:pPr>
            <w:r>
              <w:t>机械设备</w:t>
            </w:r>
          </w:p>
        </w:tc>
      </w:tr>
      <w:tr w14:paraId="71D65A40">
        <w:tblPrEx>
          <w:tblCellMar>
            <w:top w:w="0" w:type="dxa"/>
            <w:left w:w="0" w:type="dxa"/>
            <w:bottom w:w="0" w:type="dxa"/>
            <w:right w:w="0" w:type="dxa"/>
          </w:tblCellMar>
        </w:tblPrEx>
        <w:trPr>
          <w:trHeight w:val="696"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352E45">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发电机</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7A479D5E">
            <w:pPr>
              <w:spacing w:before="100" w:beforeAutospacing="1" w:after="100" w:afterAutospacing="1" w:line="285" w:lineRule="atLeast"/>
              <w:rPr>
                <w:kern w:val="2"/>
                <w:szCs w:val="24"/>
              </w:rPr>
            </w:pPr>
            <w:r>
              <w:rPr>
                <w:kern w:val="2"/>
                <w:szCs w:val="24"/>
              </w:rPr>
              <w:t>台班</w:t>
            </w:r>
          </w:p>
        </w:tc>
        <w:tc>
          <w:tcPr>
            <w:tcW w:w="1843" w:type="dxa"/>
            <w:tcBorders>
              <w:top w:val="single" w:color="auto" w:sz="8" w:space="0"/>
              <w:left w:val="single" w:color="auto" w:sz="4" w:space="0"/>
              <w:bottom w:val="single" w:color="auto" w:sz="8" w:space="0"/>
              <w:right w:val="single" w:color="auto" w:sz="8" w:space="0"/>
            </w:tcBorders>
            <w:vAlign w:val="center"/>
          </w:tcPr>
          <w:p w14:paraId="0CCEE8FB">
            <w:pPr>
              <w:spacing w:before="100" w:beforeAutospacing="1" w:after="100" w:afterAutospacing="1" w:line="285" w:lineRule="atLeast"/>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835A50">
            <w:pPr>
              <w:pStyle w:val="297"/>
              <w:shd w:val="clear" w:color="auto" w:fill="auto"/>
              <w:spacing w:line="240" w:lineRule="auto"/>
              <w:jc w:val="center"/>
              <w:rPr>
                <w:sz w:val="20"/>
                <w:szCs w:val="20"/>
              </w:rPr>
            </w:pPr>
            <w:r>
              <w:rPr>
                <w:rFonts w:ascii="Gulim" w:hAnsi="Gulim" w:eastAsia="Gulim" w:cs="Gulim"/>
                <w:sz w:val="20"/>
                <w:szCs w:val="20"/>
                <w:lang w:val="en-US" w:eastAsia="en-US" w:bidi="en-US"/>
              </w:rPr>
              <w:t>50KW</w:t>
            </w:r>
          </w:p>
        </w:tc>
      </w:tr>
      <w:tr w14:paraId="2B346BB3">
        <w:tblPrEx>
          <w:tblCellMar>
            <w:top w:w="0" w:type="dxa"/>
            <w:left w:w="0" w:type="dxa"/>
            <w:bottom w:w="0" w:type="dxa"/>
            <w:right w:w="0" w:type="dxa"/>
          </w:tblCellMar>
        </w:tblPrEx>
        <w:trPr>
          <w:trHeight w:val="696"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AAFEA3">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发电机</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44AEAAB1">
            <w:pPr>
              <w:spacing w:before="100" w:beforeAutospacing="1" w:after="100" w:afterAutospacing="1" w:line="285" w:lineRule="atLeast"/>
              <w:rPr>
                <w:kern w:val="2"/>
                <w:szCs w:val="24"/>
              </w:rPr>
            </w:pPr>
            <w:r>
              <w:rPr>
                <w:kern w:val="2"/>
                <w:szCs w:val="24"/>
              </w:rPr>
              <w:t>台班</w:t>
            </w:r>
          </w:p>
        </w:tc>
        <w:tc>
          <w:tcPr>
            <w:tcW w:w="1843" w:type="dxa"/>
            <w:tcBorders>
              <w:top w:val="single" w:color="auto" w:sz="8" w:space="0"/>
              <w:left w:val="single" w:color="auto" w:sz="4" w:space="0"/>
              <w:bottom w:val="single" w:color="auto" w:sz="8" w:space="0"/>
              <w:right w:val="single" w:color="auto" w:sz="8" w:space="0"/>
            </w:tcBorders>
            <w:vAlign w:val="center"/>
          </w:tcPr>
          <w:p w14:paraId="653D5BDF">
            <w:pPr>
              <w:spacing w:before="100" w:beforeAutospacing="1" w:after="100" w:afterAutospacing="1" w:line="285" w:lineRule="atLeast"/>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2BC8B14">
            <w:pPr>
              <w:pStyle w:val="297"/>
              <w:shd w:val="clear" w:color="auto" w:fill="auto"/>
              <w:spacing w:line="240" w:lineRule="auto"/>
              <w:jc w:val="center"/>
              <w:rPr>
                <w:sz w:val="20"/>
                <w:szCs w:val="20"/>
              </w:rPr>
            </w:pPr>
            <w:r>
              <w:rPr>
                <w:rFonts w:ascii="Gulim" w:hAnsi="Gulim" w:eastAsia="Gulim" w:cs="Gulim"/>
                <w:sz w:val="20"/>
                <w:szCs w:val="20"/>
                <w:lang w:val="en-US" w:eastAsia="en-US" w:bidi="en-US"/>
              </w:rPr>
              <w:t>6. 5KW</w:t>
            </w:r>
          </w:p>
        </w:tc>
      </w:tr>
      <w:tr w14:paraId="5D0B6011">
        <w:tblPrEx>
          <w:tblCellMar>
            <w:top w:w="0" w:type="dxa"/>
            <w:left w:w="0" w:type="dxa"/>
            <w:bottom w:w="0" w:type="dxa"/>
            <w:right w:w="0" w:type="dxa"/>
          </w:tblCellMar>
        </w:tblPrEx>
        <w:trPr>
          <w:trHeight w:val="696"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4F32E7">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一体式电焊机</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D594227">
            <w:pPr>
              <w:spacing w:before="100" w:beforeAutospacing="1" w:after="100" w:afterAutospacing="1" w:line="285" w:lineRule="atLeast"/>
              <w:rPr>
                <w:kern w:val="2"/>
                <w:szCs w:val="24"/>
              </w:rPr>
            </w:pPr>
            <w:r>
              <w:rPr>
                <w:kern w:val="2"/>
                <w:szCs w:val="24"/>
              </w:rPr>
              <w:t>台班</w:t>
            </w:r>
          </w:p>
        </w:tc>
        <w:tc>
          <w:tcPr>
            <w:tcW w:w="1843" w:type="dxa"/>
            <w:tcBorders>
              <w:top w:val="single" w:color="auto" w:sz="8" w:space="0"/>
              <w:left w:val="single" w:color="auto" w:sz="4" w:space="0"/>
              <w:bottom w:val="single" w:color="auto" w:sz="8" w:space="0"/>
              <w:right w:val="single" w:color="auto" w:sz="8" w:space="0"/>
            </w:tcBorders>
            <w:vAlign w:val="center"/>
          </w:tcPr>
          <w:p w14:paraId="38D09BE2">
            <w:pPr>
              <w:spacing w:before="100" w:beforeAutospacing="1" w:after="100" w:afterAutospacing="1" w:line="285" w:lineRule="atLeast"/>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422ECE9">
            <w:pPr>
              <w:rPr>
                <w:sz w:val="10"/>
                <w:szCs w:val="10"/>
              </w:rPr>
            </w:pPr>
          </w:p>
        </w:tc>
      </w:tr>
      <w:tr w14:paraId="67CDAFE4">
        <w:tblPrEx>
          <w:tblCellMar>
            <w:top w:w="0" w:type="dxa"/>
            <w:left w:w="0" w:type="dxa"/>
            <w:bottom w:w="0" w:type="dxa"/>
            <w:right w:w="0" w:type="dxa"/>
          </w:tblCellMar>
        </w:tblPrEx>
        <w:trPr>
          <w:trHeight w:val="696"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94AD65">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抢修车辆</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11AD650B">
            <w:pPr>
              <w:spacing w:before="100" w:beforeAutospacing="1" w:after="100" w:afterAutospacing="1" w:line="285" w:lineRule="atLeast"/>
              <w:rPr>
                <w:kern w:val="2"/>
                <w:szCs w:val="24"/>
              </w:rPr>
            </w:pPr>
            <w:r>
              <w:rPr>
                <w:kern w:val="2"/>
                <w:szCs w:val="24"/>
              </w:rPr>
              <w:t>台班</w:t>
            </w:r>
          </w:p>
        </w:tc>
        <w:tc>
          <w:tcPr>
            <w:tcW w:w="1843" w:type="dxa"/>
            <w:tcBorders>
              <w:top w:val="single" w:color="auto" w:sz="8" w:space="0"/>
              <w:left w:val="single" w:color="auto" w:sz="4" w:space="0"/>
              <w:bottom w:val="single" w:color="auto" w:sz="8" w:space="0"/>
              <w:right w:val="single" w:color="auto" w:sz="8" w:space="0"/>
            </w:tcBorders>
            <w:vAlign w:val="center"/>
          </w:tcPr>
          <w:p w14:paraId="63A56479">
            <w:pPr>
              <w:spacing w:before="100" w:beforeAutospacing="1" w:after="100" w:afterAutospacing="1" w:line="285" w:lineRule="atLeast"/>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CA59A6">
            <w:pPr>
              <w:pStyle w:val="297"/>
              <w:shd w:val="clear" w:color="auto" w:fill="auto"/>
              <w:spacing w:line="240" w:lineRule="auto"/>
              <w:jc w:val="center"/>
            </w:pPr>
            <w:r>
              <w:t>市区外</w:t>
            </w:r>
          </w:p>
        </w:tc>
      </w:tr>
      <w:tr w14:paraId="6BBD1D26">
        <w:tblPrEx>
          <w:tblCellMar>
            <w:top w:w="0" w:type="dxa"/>
            <w:left w:w="0" w:type="dxa"/>
            <w:bottom w:w="0" w:type="dxa"/>
            <w:right w:w="0" w:type="dxa"/>
          </w:tblCellMar>
        </w:tblPrEx>
        <w:trPr>
          <w:trHeight w:val="696"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D061A">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抢修车辆</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0DE2A71D">
            <w:pPr>
              <w:spacing w:before="100" w:beforeAutospacing="1" w:after="100" w:afterAutospacing="1" w:line="285" w:lineRule="atLeast"/>
              <w:rPr>
                <w:kern w:val="2"/>
                <w:szCs w:val="24"/>
              </w:rPr>
            </w:pPr>
            <w:r>
              <w:rPr>
                <w:kern w:val="2"/>
                <w:szCs w:val="24"/>
              </w:rPr>
              <w:t>台班</w:t>
            </w:r>
          </w:p>
        </w:tc>
        <w:tc>
          <w:tcPr>
            <w:tcW w:w="1843" w:type="dxa"/>
            <w:tcBorders>
              <w:top w:val="single" w:color="auto" w:sz="8" w:space="0"/>
              <w:left w:val="single" w:color="auto" w:sz="4" w:space="0"/>
              <w:bottom w:val="single" w:color="auto" w:sz="8" w:space="0"/>
              <w:right w:val="single" w:color="auto" w:sz="8" w:space="0"/>
            </w:tcBorders>
            <w:vAlign w:val="center"/>
          </w:tcPr>
          <w:p w14:paraId="188C1D5D">
            <w:pPr>
              <w:spacing w:before="100" w:beforeAutospacing="1" w:after="100" w:afterAutospacing="1" w:line="285" w:lineRule="atLeast"/>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18C7C3">
            <w:pPr>
              <w:pStyle w:val="297"/>
              <w:shd w:val="clear" w:color="auto" w:fill="auto"/>
              <w:spacing w:line="240" w:lineRule="auto"/>
              <w:jc w:val="center"/>
            </w:pPr>
            <w:r>
              <w:t>市区内</w:t>
            </w:r>
          </w:p>
        </w:tc>
      </w:tr>
      <w:tr w14:paraId="16DFAB03">
        <w:tblPrEx>
          <w:tblCellMar>
            <w:top w:w="0" w:type="dxa"/>
            <w:left w:w="0" w:type="dxa"/>
            <w:bottom w:w="0" w:type="dxa"/>
            <w:right w:w="0" w:type="dxa"/>
          </w:tblCellMar>
        </w:tblPrEx>
        <w:trPr>
          <w:trHeight w:val="696"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D5BBA0">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管道消磁器</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1ACCA90D">
            <w:pPr>
              <w:spacing w:before="100" w:beforeAutospacing="1" w:after="100" w:afterAutospacing="1" w:line="285" w:lineRule="atLeast"/>
              <w:rPr>
                <w:kern w:val="2"/>
                <w:szCs w:val="24"/>
              </w:rPr>
            </w:pPr>
            <w:r>
              <w:rPr>
                <w:kern w:val="2"/>
                <w:szCs w:val="24"/>
              </w:rPr>
              <w:t>台班</w:t>
            </w:r>
          </w:p>
        </w:tc>
        <w:tc>
          <w:tcPr>
            <w:tcW w:w="1843" w:type="dxa"/>
            <w:tcBorders>
              <w:top w:val="single" w:color="auto" w:sz="8" w:space="0"/>
              <w:left w:val="single" w:color="auto" w:sz="4" w:space="0"/>
              <w:bottom w:val="single" w:color="auto" w:sz="8" w:space="0"/>
              <w:right w:val="single" w:color="auto" w:sz="8" w:space="0"/>
            </w:tcBorders>
            <w:vAlign w:val="center"/>
          </w:tcPr>
          <w:p w14:paraId="359242A3">
            <w:pPr>
              <w:spacing w:before="100" w:beforeAutospacing="1" w:after="100" w:afterAutospacing="1" w:line="285" w:lineRule="atLeast"/>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FE86F58">
            <w:pPr>
              <w:rPr>
                <w:sz w:val="10"/>
                <w:szCs w:val="10"/>
              </w:rPr>
            </w:pPr>
          </w:p>
        </w:tc>
      </w:tr>
      <w:tr w14:paraId="3B4C3D08">
        <w:tblPrEx>
          <w:tblCellMar>
            <w:top w:w="0" w:type="dxa"/>
            <w:left w:w="0" w:type="dxa"/>
            <w:bottom w:w="0" w:type="dxa"/>
            <w:right w:w="0" w:type="dxa"/>
          </w:tblCellMar>
        </w:tblPrEx>
        <w:trPr>
          <w:trHeight w:val="696" w:hRule="atLeast"/>
          <w:jc w:val="center"/>
        </w:trPr>
        <w:tc>
          <w:tcPr>
            <w:tcW w:w="34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0DECCD">
            <w:pPr>
              <w:pStyle w:val="297"/>
              <w:shd w:val="clear" w:color="auto" w:fill="auto"/>
              <w:spacing w:line="240" w:lineRule="auto"/>
              <w:jc w:val="center"/>
              <w:rPr>
                <w:rFonts w:ascii="Times New Roman" w:hAnsi="Times New Roman" w:eastAsia="宋体" w:cs="Times New Roman"/>
                <w:kern w:val="2"/>
                <w:sz w:val="24"/>
                <w:szCs w:val="24"/>
                <w:lang w:val="en-US" w:bidi="ar-SA"/>
              </w:rPr>
            </w:pPr>
            <w:r>
              <w:rPr>
                <w:rFonts w:ascii="Times New Roman" w:hAnsi="Times New Roman" w:eastAsia="宋体" w:cs="Times New Roman"/>
                <w:kern w:val="2"/>
                <w:sz w:val="24"/>
                <w:szCs w:val="24"/>
                <w:lang w:val="en-US" w:bidi="ar-SA"/>
              </w:rPr>
              <w:t>注氮设备</w:t>
            </w:r>
          </w:p>
        </w:tc>
        <w:tc>
          <w:tcPr>
            <w:tcW w:w="1205"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07AE486B">
            <w:pPr>
              <w:spacing w:before="100" w:beforeAutospacing="1" w:after="100" w:afterAutospacing="1" w:line="285" w:lineRule="atLeast"/>
              <w:rPr>
                <w:kern w:val="2"/>
                <w:szCs w:val="24"/>
              </w:rPr>
            </w:pPr>
            <w:r>
              <w:rPr>
                <w:kern w:val="2"/>
                <w:szCs w:val="24"/>
              </w:rPr>
              <w:t>台班</w:t>
            </w:r>
          </w:p>
        </w:tc>
        <w:tc>
          <w:tcPr>
            <w:tcW w:w="1843" w:type="dxa"/>
            <w:tcBorders>
              <w:top w:val="single" w:color="auto" w:sz="8" w:space="0"/>
              <w:left w:val="single" w:color="auto" w:sz="4" w:space="0"/>
              <w:bottom w:val="single" w:color="auto" w:sz="8" w:space="0"/>
              <w:right w:val="single" w:color="auto" w:sz="8" w:space="0"/>
            </w:tcBorders>
            <w:vAlign w:val="center"/>
          </w:tcPr>
          <w:p w14:paraId="6545160E">
            <w:pPr>
              <w:spacing w:before="100" w:beforeAutospacing="1" w:after="100" w:afterAutospacing="1" w:line="285" w:lineRule="atLeast"/>
              <w:rPr>
                <w:kern w:val="2"/>
                <w:szCs w:val="24"/>
                <w:lang w:val="zh-CN"/>
              </w:rPr>
            </w:pPr>
          </w:p>
        </w:tc>
        <w:tc>
          <w:tcPr>
            <w:tcW w:w="32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BEA979">
            <w:pPr>
              <w:pStyle w:val="297"/>
              <w:shd w:val="clear" w:color="auto" w:fill="auto"/>
              <w:spacing w:line="240" w:lineRule="auto"/>
              <w:ind w:left="80"/>
              <w:jc w:val="center"/>
            </w:pPr>
            <w:r>
              <w:t>注氮设备</w:t>
            </w:r>
          </w:p>
        </w:tc>
      </w:tr>
      <w:tr w14:paraId="5192FA75">
        <w:tblPrEx>
          <w:tblCellMar>
            <w:top w:w="0" w:type="dxa"/>
            <w:left w:w="0" w:type="dxa"/>
            <w:bottom w:w="0" w:type="dxa"/>
            <w:right w:w="0" w:type="dxa"/>
          </w:tblCellMar>
        </w:tblPrEx>
        <w:trPr>
          <w:trHeight w:val="696" w:hRule="atLeast"/>
          <w:jc w:val="center"/>
        </w:trPr>
        <w:tc>
          <w:tcPr>
            <w:tcW w:w="9801"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C71B5B">
            <w:pPr>
              <w:spacing w:before="100" w:beforeAutospacing="1" w:after="100" w:afterAutospacing="1" w:line="285" w:lineRule="atLeast"/>
              <w:rPr>
                <w:kern w:val="2"/>
                <w:szCs w:val="24"/>
                <w:lang w:val="zh-CN"/>
              </w:rPr>
            </w:pPr>
            <w:r>
              <w:rPr>
                <w:rFonts w:hint="eastAsia"/>
                <w:kern w:val="2"/>
                <w:szCs w:val="24"/>
                <w:lang w:val="zh-CN"/>
              </w:rPr>
              <w:t>合计：</w:t>
            </w:r>
            <w:r>
              <w:rPr>
                <w:rFonts w:hint="eastAsia"/>
                <w:kern w:val="2"/>
                <w:szCs w:val="24"/>
                <w:highlight w:val="none"/>
                <w:lang w:val="zh-CN"/>
              </w:rPr>
              <w:t>（</w:t>
            </w:r>
            <w:r>
              <w:rPr>
                <w:rFonts w:hint="eastAsia"/>
                <w:kern w:val="2"/>
                <w:szCs w:val="24"/>
                <w:highlight w:val="none"/>
                <w:lang w:val="en-US" w:eastAsia="zh-CN"/>
              </w:rPr>
              <w:t>七项相加，权重相同</w:t>
            </w:r>
            <w:r>
              <w:rPr>
                <w:rFonts w:hint="eastAsia"/>
                <w:kern w:val="2"/>
                <w:szCs w:val="24"/>
                <w:highlight w:val="none"/>
                <w:lang w:val="zh-CN"/>
              </w:rPr>
              <w:t>）</w:t>
            </w:r>
          </w:p>
        </w:tc>
      </w:tr>
    </w:tbl>
    <w:p w14:paraId="4F6B1ADD">
      <w:pPr>
        <w:widowControl w:val="0"/>
        <w:autoSpaceDE w:val="0"/>
        <w:autoSpaceDN w:val="0"/>
        <w:adjustRightInd w:val="0"/>
        <w:spacing w:line="360" w:lineRule="auto"/>
        <w:jc w:val="both"/>
        <w:rPr>
          <w:kern w:val="2"/>
          <w:szCs w:val="24"/>
        </w:rPr>
      </w:pPr>
    </w:p>
    <w:p w14:paraId="3F9B81EF">
      <w:pPr>
        <w:widowControl w:val="0"/>
        <w:autoSpaceDE w:val="0"/>
        <w:autoSpaceDN w:val="0"/>
        <w:adjustRightInd w:val="0"/>
        <w:spacing w:line="360" w:lineRule="auto"/>
        <w:ind w:firstLine="210"/>
        <w:rPr>
          <w:kern w:val="2"/>
          <w:szCs w:val="24"/>
        </w:rPr>
      </w:pPr>
      <w:r>
        <w:rPr>
          <w:kern w:val="2"/>
          <w:szCs w:val="24"/>
          <w:lang w:val="zh-CN"/>
        </w:rPr>
        <w:t>投标人（公章）：</w:t>
      </w:r>
    </w:p>
    <w:p w14:paraId="27A19FCB">
      <w:pPr>
        <w:widowControl w:val="0"/>
        <w:autoSpaceDE w:val="0"/>
        <w:autoSpaceDN w:val="0"/>
        <w:adjustRightInd w:val="0"/>
        <w:spacing w:line="360" w:lineRule="auto"/>
        <w:ind w:firstLine="210"/>
        <w:rPr>
          <w:kern w:val="2"/>
          <w:szCs w:val="24"/>
        </w:rPr>
      </w:pPr>
      <w:r>
        <w:rPr>
          <w:kern w:val="2"/>
          <w:szCs w:val="24"/>
          <w:lang w:val="zh-CN"/>
        </w:rPr>
        <w:t>法定代表人或授权委托人：（签字或</w:t>
      </w:r>
      <w:r>
        <w:rPr>
          <w:rFonts w:hint="eastAsia"/>
          <w:kern w:val="2"/>
          <w:szCs w:val="24"/>
          <w:lang w:val="zh-CN"/>
        </w:rPr>
        <w:t>签章</w:t>
      </w:r>
      <w:r>
        <w:rPr>
          <w:kern w:val="2"/>
          <w:szCs w:val="24"/>
          <w:lang w:val="zh-CN"/>
        </w:rPr>
        <w:t>）</w:t>
      </w:r>
    </w:p>
    <w:p w14:paraId="6562692B">
      <w:pPr>
        <w:widowControl w:val="0"/>
        <w:autoSpaceDE w:val="0"/>
        <w:autoSpaceDN w:val="0"/>
        <w:adjustRightInd w:val="0"/>
        <w:spacing w:line="360" w:lineRule="auto"/>
        <w:ind w:firstLine="210"/>
        <w:jc w:val="both"/>
        <w:rPr>
          <w:kern w:val="2"/>
          <w:szCs w:val="24"/>
        </w:rPr>
      </w:pPr>
      <w:r>
        <w:rPr>
          <w:kern w:val="2"/>
          <w:szCs w:val="24"/>
          <w:lang w:val="zh-CN"/>
        </w:rPr>
        <w:t>日期：</w:t>
      </w:r>
      <w:r>
        <w:rPr>
          <w:kern w:val="2"/>
          <w:szCs w:val="24"/>
        </w:rPr>
        <w:t xml:space="preserve">   </w:t>
      </w:r>
      <w:r>
        <w:rPr>
          <w:rFonts w:hint="eastAsia"/>
          <w:kern w:val="2"/>
          <w:szCs w:val="24"/>
        </w:rPr>
        <w:t xml:space="preserve">  </w:t>
      </w:r>
      <w:r>
        <w:rPr>
          <w:kern w:val="2"/>
          <w:szCs w:val="24"/>
        </w:rPr>
        <w:t xml:space="preserve">   </w:t>
      </w:r>
      <w:r>
        <w:rPr>
          <w:kern w:val="2"/>
          <w:szCs w:val="24"/>
          <w:lang w:val="zh-CN"/>
        </w:rPr>
        <w:t>年</w:t>
      </w:r>
      <w:r>
        <w:rPr>
          <w:kern w:val="2"/>
          <w:szCs w:val="24"/>
        </w:rPr>
        <w:t xml:space="preserve">     </w:t>
      </w:r>
      <w:r>
        <w:rPr>
          <w:kern w:val="2"/>
          <w:szCs w:val="24"/>
          <w:lang w:val="zh-CN"/>
        </w:rPr>
        <w:t>月</w:t>
      </w:r>
      <w:r>
        <w:rPr>
          <w:kern w:val="2"/>
          <w:szCs w:val="24"/>
        </w:rPr>
        <w:t xml:space="preserve">     </w:t>
      </w:r>
      <w:r>
        <w:rPr>
          <w:kern w:val="2"/>
          <w:szCs w:val="24"/>
          <w:lang w:val="zh-CN"/>
        </w:rPr>
        <w:t>日</w:t>
      </w:r>
    </w:p>
    <w:p w14:paraId="2737480E">
      <w:pPr>
        <w:widowControl w:val="0"/>
        <w:autoSpaceDE w:val="0"/>
        <w:autoSpaceDN w:val="0"/>
        <w:adjustRightInd w:val="0"/>
        <w:spacing w:line="360" w:lineRule="auto"/>
        <w:jc w:val="both"/>
        <w:rPr>
          <w:b/>
          <w:kern w:val="2"/>
          <w:szCs w:val="24"/>
        </w:rPr>
      </w:pPr>
    </w:p>
    <w:p w14:paraId="4518E70A">
      <w:pPr>
        <w:widowControl w:val="0"/>
        <w:autoSpaceDE w:val="0"/>
        <w:autoSpaceDN w:val="0"/>
        <w:adjustRightInd w:val="0"/>
        <w:spacing w:line="360" w:lineRule="auto"/>
        <w:jc w:val="both"/>
        <w:rPr>
          <w:b/>
          <w:kern w:val="2"/>
          <w:szCs w:val="24"/>
        </w:rPr>
      </w:pPr>
      <w:r>
        <w:rPr>
          <w:rFonts w:hint="eastAsia"/>
          <w:b/>
          <w:kern w:val="2"/>
          <w:szCs w:val="24"/>
        </w:rPr>
        <w:t>注：以上各栏应逐栏如实填写，不得无故缺填并与投标文件其他部分一致。</w:t>
      </w:r>
    </w:p>
    <w:p w14:paraId="14B30F30">
      <w:pPr>
        <w:widowControl w:val="0"/>
        <w:autoSpaceDE w:val="0"/>
        <w:autoSpaceDN w:val="0"/>
        <w:adjustRightInd w:val="0"/>
        <w:spacing w:line="360" w:lineRule="auto"/>
        <w:jc w:val="both"/>
        <w:rPr>
          <w:b/>
          <w:szCs w:val="24"/>
          <w:lang w:val="zh-CN"/>
        </w:rPr>
      </w:pPr>
      <w:r>
        <w:rPr>
          <w:kern w:val="2"/>
          <w:szCs w:val="24"/>
          <w:lang w:val="zh-CN"/>
        </w:rPr>
        <w:br w:type="page"/>
      </w:r>
    </w:p>
    <w:p w14:paraId="715B1471">
      <w:pPr>
        <w:widowControl w:val="0"/>
        <w:wordWrap w:val="0"/>
        <w:spacing w:line="360" w:lineRule="auto"/>
        <w:ind w:firstLine="482" w:firstLineChars="200"/>
        <w:jc w:val="both"/>
        <w:rPr>
          <w:b/>
          <w:szCs w:val="24"/>
          <w:lang w:val="zh-CN"/>
        </w:rPr>
      </w:pPr>
    </w:p>
    <w:p w14:paraId="4226D137">
      <w:pPr>
        <w:widowControl w:val="0"/>
        <w:wordWrap w:val="0"/>
        <w:spacing w:line="360" w:lineRule="auto"/>
        <w:ind w:firstLine="482" w:firstLineChars="200"/>
        <w:jc w:val="both"/>
        <w:rPr>
          <w:rFonts w:ascii="宋体" w:hAnsi="宋体" w:cs="宋体"/>
          <w:szCs w:val="24"/>
        </w:rPr>
      </w:pPr>
      <w:r>
        <w:rPr>
          <w:b/>
          <w:szCs w:val="24"/>
          <w:lang w:val="zh-CN"/>
        </w:rPr>
        <w:t>格式</w:t>
      </w:r>
      <w:r>
        <w:rPr>
          <w:rFonts w:hint="eastAsia"/>
          <w:b/>
          <w:szCs w:val="24"/>
          <w:lang w:val="zh-CN"/>
        </w:rPr>
        <w:t>4</w:t>
      </w:r>
      <w:r>
        <w:rPr>
          <w:rFonts w:hint="eastAsia" w:ascii="宋体" w:hAnsi="宋体" w:cs="宋体"/>
          <w:szCs w:val="24"/>
        </w:rPr>
        <w:t>、投入本项目人员一览表</w:t>
      </w:r>
    </w:p>
    <w:p w14:paraId="3DB28D87">
      <w:pPr>
        <w:widowControl w:val="0"/>
        <w:wordWrap w:val="0"/>
        <w:spacing w:line="360" w:lineRule="auto"/>
        <w:ind w:firstLine="480" w:firstLineChars="200"/>
        <w:jc w:val="center"/>
        <w:rPr>
          <w:rFonts w:ascii="宋体" w:hAnsi="宋体" w:cs="宋体"/>
          <w:szCs w:val="24"/>
        </w:rPr>
      </w:pPr>
      <w:r>
        <w:rPr>
          <w:rFonts w:hint="eastAsia" w:ascii="宋体" w:hAnsi="宋体" w:cs="宋体"/>
          <w:szCs w:val="24"/>
        </w:rPr>
        <w:t>投入本项目人员一览表</w:t>
      </w:r>
    </w:p>
    <w:tbl>
      <w:tblPr>
        <w:tblStyle w:val="56"/>
        <w:tblW w:w="9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1173"/>
        <w:gridCol w:w="1053"/>
        <w:gridCol w:w="750"/>
        <w:gridCol w:w="796"/>
        <w:gridCol w:w="753"/>
        <w:gridCol w:w="1381"/>
        <w:gridCol w:w="1243"/>
        <w:gridCol w:w="1490"/>
      </w:tblGrid>
      <w:tr w14:paraId="609D3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778F23D5">
            <w:pPr>
              <w:widowControl w:val="0"/>
              <w:spacing w:line="360" w:lineRule="auto"/>
              <w:jc w:val="center"/>
              <w:rPr>
                <w:rFonts w:ascii="宋体" w:hAnsi="宋体" w:cs="宋体"/>
                <w:szCs w:val="24"/>
              </w:rPr>
            </w:pPr>
            <w:r>
              <w:rPr>
                <w:rFonts w:hint="eastAsia" w:ascii="宋体" w:hAnsi="宋体" w:cs="宋体"/>
                <w:szCs w:val="24"/>
              </w:rPr>
              <w:t>序号</w:t>
            </w:r>
          </w:p>
        </w:tc>
        <w:tc>
          <w:tcPr>
            <w:tcW w:w="1173" w:type="dxa"/>
            <w:tcBorders>
              <w:top w:val="single" w:color="auto" w:sz="4" w:space="0"/>
              <w:left w:val="single" w:color="auto" w:sz="4" w:space="0"/>
              <w:bottom w:val="single" w:color="auto" w:sz="4" w:space="0"/>
              <w:right w:val="single" w:color="auto" w:sz="4" w:space="0"/>
            </w:tcBorders>
            <w:vAlign w:val="center"/>
          </w:tcPr>
          <w:p w14:paraId="7B0B2287">
            <w:pPr>
              <w:widowControl w:val="0"/>
              <w:spacing w:line="360" w:lineRule="auto"/>
              <w:jc w:val="center"/>
              <w:rPr>
                <w:rFonts w:ascii="宋体" w:hAnsi="宋体" w:cs="宋体"/>
                <w:szCs w:val="24"/>
              </w:rPr>
            </w:pPr>
            <w:r>
              <w:rPr>
                <w:rFonts w:hint="eastAsia" w:ascii="宋体" w:hAnsi="宋体" w:cs="宋体"/>
                <w:szCs w:val="24"/>
              </w:rPr>
              <w:t>岗位</w:t>
            </w:r>
          </w:p>
        </w:tc>
        <w:tc>
          <w:tcPr>
            <w:tcW w:w="1053" w:type="dxa"/>
            <w:tcBorders>
              <w:top w:val="single" w:color="auto" w:sz="4" w:space="0"/>
              <w:left w:val="single" w:color="auto" w:sz="4" w:space="0"/>
              <w:bottom w:val="single" w:color="auto" w:sz="4" w:space="0"/>
              <w:right w:val="single" w:color="auto" w:sz="4" w:space="0"/>
            </w:tcBorders>
            <w:vAlign w:val="center"/>
          </w:tcPr>
          <w:p w14:paraId="7A69F08C">
            <w:pPr>
              <w:widowControl w:val="0"/>
              <w:spacing w:line="360" w:lineRule="auto"/>
              <w:jc w:val="center"/>
              <w:rPr>
                <w:rFonts w:ascii="宋体" w:hAnsi="宋体" w:cs="宋体"/>
                <w:szCs w:val="24"/>
              </w:rPr>
            </w:pPr>
            <w:r>
              <w:rPr>
                <w:rFonts w:hint="eastAsia" w:ascii="宋体" w:hAnsi="宋体" w:cs="宋体"/>
                <w:szCs w:val="24"/>
              </w:rPr>
              <w:t>姓名</w:t>
            </w:r>
          </w:p>
        </w:tc>
        <w:tc>
          <w:tcPr>
            <w:tcW w:w="750" w:type="dxa"/>
            <w:tcBorders>
              <w:top w:val="single" w:color="auto" w:sz="4" w:space="0"/>
              <w:left w:val="single" w:color="auto" w:sz="4" w:space="0"/>
              <w:bottom w:val="single" w:color="auto" w:sz="4" w:space="0"/>
              <w:right w:val="single" w:color="auto" w:sz="4" w:space="0"/>
            </w:tcBorders>
            <w:vAlign w:val="center"/>
          </w:tcPr>
          <w:p w14:paraId="16D49645">
            <w:pPr>
              <w:widowControl w:val="0"/>
              <w:spacing w:line="360" w:lineRule="auto"/>
              <w:jc w:val="center"/>
              <w:rPr>
                <w:rFonts w:ascii="宋体" w:hAnsi="宋体" w:cs="宋体"/>
                <w:szCs w:val="24"/>
              </w:rPr>
            </w:pPr>
            <w:r>
              <w:rPr>
                <w:rFonts w:hint="eastAsia" w:ascii="宋体" w:hAnsi="宋体" w:cs="宋体"/>
                <w:szCs w:val="24"/>
              </w:rPr>
              <w:t>性别</w:t>
            </w:r>
          </w:p>
        </w:tc>
        <w:tc>
          <w:tcPr>
            <w:tcW w:w="796" w:type="dxa"/>
            <w:tcBorders>
              <w:top w:val="single" w:color="auto" w:sz="4" w:space="0"/>
              <w:left w:val="single" w:color="auto" w:sz="4" w:space="0"/>
              <w:bottom w:val="single" w:color="auto" w:sz="4" w:space="0"/>
              <w:right w:val="single" w:color="auto" w:sz="4" w:space="0"/>
            </w:tcBorders>
            <w:vAlign w:val="center"/>
          </w:tcPr>
          <w:p w14:paraId="0DD238FB">
            <w:pPr>
              <w:widowControl w:val="0"/>
              <w:spacing w:line="360" w:lineRule="auto"/>
              <w:jc w:val="center"/>
              <w:rPr>
                <w:rFonts w:ascii="宋体" w:hAnsi="宋体" w:cs="宋体"/>
                <w:szCs w:val="24"/>
              </w:rPr>
            </w:pPr>
            <w:r>
              <w:rPr>
                <w:rFonts w:hint="eastAsia" w:ascii="宋体" w:hAnsi="宋体" w:cs="宋体"/>
                <w:szCs w:val="24"/>
              </w:rPr>
              <w:t>年龄</w:t>
            </w:r>
          </w:p>
        </w:tc>
        <w:tc>
          <w:tcPr>
            <w:tcW w:w="753" w:type="dxa"/>
            <w:tcBorders>
              <w:top w:val="single" w:color="auto" w:sz="4" w:space="0"/>
              <w:left w:val="single" w:color="auto" w:sz="4" w:space="0"/>
              <w:bottom w:val="single" w:color="auto" w:sz="4" w:space="0"/>
              <w:right w:val="single" w:color="auto" w:sz="4" w:space="0"/>
            </w:tcBorders>
            <w:vAlign w:val="center"/>
          </w:tcPr>
          <w:p w14:paraId="328BC478">
            <w:pPr>
              <w:widowControl w:val="0"/>
              <w:spacing w:line="360" w:lineRule="auto"/>
              <w:jc w:val="center"/>
              <w:rPr>
                <w:rFonts w:ascii="宋体" w:hAnsi="宋体" w:cs="宋体"/>
                <w:szCs w:val="24"/>
              </w:rPr>
            </w:pPr>
            <w:r>
              <w:rPr>
                <w:rFonts w:hint="eastAsia" w:ascii="宋体" w:hAnsi="宋体" w:cs="宋体"/>
                <w:szCs w:val="24"/>
              </w:rPr>
              <w:t>职称</w:t>
            </w:r>
          </w:p>
        </w:tc>
        <w:tc>
          <w:tcPr>
            <w:tcW w:w="1381" w:type="dxa"/>
            <w:tcBorders>
              <w:top w:val="single" w:color="auto" w:sz="4" w:space="0"/>
              <w:left w:val="single" w:color="auto" w:sz="4" w:space="0"/>
              <w:bottom w:val="single" w:color="auto" w:sz="4" w:space="0"/>
              <w:right w:val="single" w:color="auto" w:sz="4" w:space="0"/>
            </w:tcBorders>
            <w:vAlign w:val="center"/>
          </w:tcPr>
          <w:p w14:paraId="23946176">
            <w:pPr>
              <w:widowControl w:val="0"/>
              <w:spacing w:line="360" w:lineRule="auto"/>
              <w:jc w:val="center"/>
              <w:rPr>
                <w:rFonts w:ascii="宋体" w:hAnsi="宋体" w:cs="宋体"/>
                <w:szCs w:val="24"/>
              </w:rPr>
            </w:pPr>
            <w:r>
              <w:rPr>
                <w:rFonts w:hint="eastAsia" w:ascii="宋体" w:hAnsi="宋体" w:cs="宋体"/>
                <w:szCs w:val="24"/>
              </w:rPr>
              <w:t>专业/资格</w:t>
            </w:r>
          </w:p>
        </w:tc>
        <w:tc>
          <w:tcPr>
            <w:tcW w:w="1243" w:type="dxa"/>
            <w:tcBorders>
              <w:top w:val="single" w:color="auto" w:sz="4" w:space="0"/>
              <w:left w:val="single" w:color="auto" w:sz="4" w:space="0"/>
              <w:bottom w:val="single" w:color="auto" w:sz="4" w:space="0"/>
              <w:right w:val="single" w:color="auto" w:sz="4" w:space="0"/>
            </w:tcBorders>
            <w:vAlign w:val="center"/>
          </w:tcPr>
          <w:p w14:paraId="4437D325">
            <w:pPr>
              <w:widowControl w:val="0"/>
              <w:spacing w:line="360" w:lineRule="auto"/>
              <w:jc w:val="center"/>
              <w:rPr>
                <w:rFonts w:ascii="宋体" w:hAnsi="宋体" w:cs="宋体"/>
                <w:szCs w:val="24"/>
              </w:rPr>
            </w:pPr>
            <w:r>
              <w:rPr>
                <w:rFonts w:hint="eastAsia" w:ascii="宋体" w:hAnsi="宋体" w:cs="宋体"/>
                <w:szCs w:val="24"/>
              </w:rPr>
              <w:t>从事本工作时间</w:t>
            </w:r>
          </w:p>
        </w:tc>
        <w:tc>
          <w:tcPr>
            <w:tcW w:w="1490" w:type="dxa"/>
            <w:tcBorders>
              <w:top w:val="single" w:color="auto" w:sz="4" w:space="0"/>
              <w:left w:val="single" w:color="auto" w:sz="4" w:space="0"/>
              <w:bottom w:val="single" w:color="auto" w:sz="4" w:space="0"/>
              <w:right w:val="single" w:color="auto" w:sz="4" w:space="0"/>
            </w:tcBorders>
            <w:vAlign w:val="center"/>
          </w:tcPr>
          <w:p w14:paraId="5998D6D8">
            <w:pPr>
              <w:widowControl w:val="0"/>
              <w:spacing w:line="360" w:lineRule="auto"/>
              <w:jc w:val="center"/>
              <w:rPr>
                <w:rFonts w:ascii="宋体" w:hAnsi="宋体" w:cs="宋体"/>
                <w:szCs w:val="24"/>
              </w:rPr>
            </w:pPr>
            <w:r>
              <w:rPr>
                <w:rFonts w:hint="eastAsia" w:ascii="宋体" w:hAnsi="宋体" w:cs="宋体"/>
                <w:szCs w:val="24"/>
              </w:rPr>
              <w:t>典型业务</w:t>
            </w:r>
          </w:p>
          <w:p w14:paraId="7D1C6413">
            <w:pPr>
              <w:widowControl w:val="0"/>
              <w:spacing w:line="360" w:lineRule="auto"/>
              <w:jc w:val="center"/>
              <w:rPr>
                <w:rFonts w:ascii="宋体" w:hAnsi="宋体" w:cs="宋体"/>
                <w:szCs w:val="24"/>
              </w:rPr>
            </w:pPr>
            <w:r>
              <w:rPr>
                <w:rFonts w:hint="eastAsia" w:ascii="宋体" w:hAnsi="宋体" w:cs="宋体"/>
                <w:szCs w:val="24"/>
              </w:rPr>
              <w:t>与技术专长</w:t>
            </w:r>
          </w:p>
        </w:tc>
      </w:tr>
      <w:tr w14:paraId="1548E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1E3DBF55">
            <w:pPr>
              <w:widowControl w:val="0"/>
              <w:spacing w:line="360" w:lineRule="auto"/>
              <w:jc w:val="center"/>
              <w:rPr>
                <w:rFonts w:ascii="宋体" w:hAnsi="宋体" w:cs="宋体"/>
                <w:szCs w:val="24"/>
              </w:rPr>
            </w:pPr>
            <w:r>
              <w:rPr>
                <w:rFonts w:hint="eastAsia" w:ascii="宋体" w:hAnsi="宋体" w:cs="宋体"/>
                <w:szCs w:val="24"/>
              </w:rPr>
              <w:t>1</w:t>
            </w:r>
          </w:p>
        </w:tc>
        <w:tc>
          <w:tcPr>
            <w:tcW w:w="1173" w:type="dxa"/>
            <w:tcBorders>
              <w:top w:val="single" w:color="auto" w:sz="4" w:space="0"/>
              <w:left w:val="single" w:color="auto" w:sz="4" w:space="0"/>
              <w:bottom w:val="single" w:color="auto" w:sz="4" w:space="0"/>
              <w:right w:val="single" w:color="auto" w:sz="4" w:space="0"/>
            </w:tcBorders>
            <w:vAlign w:val="center"/>
          </w:tcPr>
          <w:p w14:paraId="3DFFC560">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5728128E">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3C658DCA">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54B700F4">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0A8D0FEF">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5F95B9D4">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0A91238F">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B3A7601">
            <w:pPr>
              <w:widowControl w:val="0"/>
              <w:spacing w:line="360" w:lineRule="auto"/>
              <w:jc w:val="center"/>
              <w:rPr>
                <w:rFonts w:ascii="宋体" w:hAnsi="宋体" w:cs="宋体"/>
                <w:szCs w:val="24"/>
              </w:rPr>
            </w:pPr>
          </w:p>
        </w:tc>
      </w:tr>
      <w:tr w14:paraId="4AD7A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788DD709">
            <w:pPr>
              <w:widowControl w:val="0"/>
              <w:spacing w:line="360" w:lineRule="auto"/>
              <w:jc w:val="center"/>
              <w:rPr>
                <w:rFonts w:ascii="宋体" w:hAnsi="宋体" w:cs="宋体"/>
                <w:szCs w:val="24"/>
              </w:rPr>
            </w:pPr>
            <w:r>
              <w:rPr>
                <w:rFonts w:hint="eastAsia" w:ascii="宋体" w:hAnsi="宋体" w:cs="宋体"/>
                <w:szCs w:val="24"/>
              </w:rPr>
              <w:t>2</w:t>
            </w:r>
          </w:p>
        </w:tc>
        <w:tc>
          <w:tcPr>
            <w:tcW w:w="1173" w:type="dxa"/>
            <w:tcBorders>
              <w:top w:val="single" w:color="auto" w:sz="4" w:space="0"/>
              <w:left w:val="single" w:color="auto" w:sz="4" w:space="0"/>
              <w:bottom w:val="single" w:color="auto" w:sz="4" w:space="0"/>
              <w:right w:val="single" w:color="auto" w:sz="4" w:space="0"/>
            </w:tcBorders>
            <w:vAlign w:val="center"/>
          </w:tcPr>
          <w:p w14:paraId="70BB7B90">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6B130E5F">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30771F1D">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33D3FAF7">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7285539D">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2FC45029">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466E7018">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241F7AEA">
            <w:pPr>
              <w:widowControl w:val="0"/>
              <w:spacing w:line="360" w:lineRule="auto"/>
              <w:jc w:val="center"/>
              <w:rPr>
                <w:rFonts w:ascii="宋体" w:hAnsi="宋体" w:cs="宋体"/>
                <w:szCs w:val="24"/>
              </w:rPr>
            </w:pPr>
          </w:p>
        </w:tc>
      </w:tr>
      <w:tr w14:paraId="6DD9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73697B0D">
            <w:pPr>
              <w:widowControl w:val="0"/>
              <w:spacing w:line="360" w:lineRule="auto"/>
              <w:jc w:val="center"/>
              <w:rPr>
                <w:rFonts w:ascii="宋体" w:hAnsi="宋体" w:cs="宋体"/>
                <w:szCs w:val="24"/>
              </w:rPr>
            </w:pPr>
            <w:r>
              <w:rPr>
                <w:rFonts w:hint="eastAsia" w:ascii="宋体" w:hAnsi="宋体" w:cs="宋体"/>
                <w:szCs w:val="24"/>
              </w:rPr>
              <w:t>3</w:t>
            </w:r>
          </w:p>
        </w:tc>
        <w:tc>
          <w:tcPr>
            <w:tcW w:w="1173" w:type="dxa"/>
            <w:tcBorders>
              <w:top w:val="single" w:color="auto" w:sz="4" w:space="0"/>
              <w:left w:val="single" w:color="auto" w:sz="4" w:space="0"/>
              <w:bottom w:val="single" w:color="auto" w:sz="4" w:space="0"/>
              <w:right w:val="single" w:color="auto" w:sz="4" w:space="0"/>
            </w:tcBorders>
            <w:vAlign w:val="center"/>
          </w:tcPr>
          <w:p w14:paraId="0D075093">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7F34C465">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20423A29">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21A38219">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58FC478F">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7F063D60">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454733C9">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06AE886E">
            <w:pPr>
              <w:widowControl w:val="0"/>
              <w:spacing w:line="360" w:lineRule="auto"/>
              <w:jc w:val="center"/>
              <w:rPr>
                <w:rFonts w:ascii="宋体" w:hAnsi="宋体" w:cs="宋体"/>
                <w:szCs w:val="24"/>
              </w:rPr>
            </w:pPr>
          </w:p>
        </w:tc>
      </w:tr>
      <w:tr w14:paraId="014B0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0740C260">
            <w:pPr>
              <w:widowControl w:val="0"/>
              <w:spacing w:line="360" w:lineRule="auto"/>
              <w:jc w:val="center"/>
              <w:rPr>
                <w:rFonts w:ascii="宋体" w:hAnsi="宋体" w:cs="宋体"/>
                <w:szCs w:val="24"/>
              </w:rPr>
            </w:pPr>
            <w:r>
              <w:rPr>
                <w:rFonts w:hint="eastAsia" w:ascii="宋体" w:hAnsi="宋体" w:cs="宋体"/>
                <w:szCs w:val="24"/>
              </w:rPr>
              <w:t>4</w:t>
            </w:r>
          </w:p>
        </w:tc>
        <w:tc>
          <w:tcPr>
            <w:tcW w:w="1173" w:type="dxa"/>
            <w:tcBorders>
              <w:top w:val="single" w:color="auto" w:sz="4" w:space="0"/>
              <w:left w:val="single" w:color="auto" w:sz="4" w:space="0"/>
              <w:bottom w:val="single" w:color="auto" w:sz="4" w:space="0"/>
              <w:right w:val="single" w:color="auto" w:sz="4" w:space="0"/>
            </w:tcBorders>
            <w:vAlign w:val="center"/>
          </w:tcPr>
          <w:p w14:paraId="3A652870">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7BEAE595">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275A9946">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347BDECF">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23B51CC6">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130E1784">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1E91CA22">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7075ED4D">
            <w:pPr>
              <w:widowControl w:val="0"/>
              <w:spacing w:line="360" w:lineRule="auto"/>
              <w:jc w:val="center"/>
              <w:rPr>
                <w:rFonts w:ascii="宋体" w:hAnsi="宋体" w:cs="宋体"/>
                <w:szCs w:val="24"/>
              </w:rPr>
            </w:pPr>
          </w:p>
        </w:tc>
      </w:tr>
      <w:tr w14:paraId="672A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5F6A9B1F">
            <w:pPr>
              <w:widowControl w:val="0"/>
              <w:spacing w:line="360" w:lineRule="auto"/>
              <w:jc w:val="center"/>
              <w:rPr>
                <w:rFonts w:ascii="宋体" w:hAnsi="宋体" w:cs="宋体"/>
                <w:szCs w:val="24"/>
              </w:rPr>
            </w:pPr>
            <w:r>
              <w:rPr>
                <w:rFonts w:hint="eastAsia" w:ascii="宋体" w:hAnsi="宋体" w:cs="宋体"/>
                <w:szCs w:val="24"/>
              </w:rPr>
              <w:t>5</w:t>
            </w:r>
          </w:p>
        </w:tc>
        <w:tc>
          <w:tcPr>
            <w:tcW w:w="1173" w:type="dxa"/>
            <w:tcBorders>
              <w:top w:val="single" w:color="auto" w:sz="4" w:space="0"/>
              <w:left w:val="single" w:color="auto" w:sz="4" w:space="0"/>
              <w:bottom w:val="single" w:color="auto" w:sz="4" w:space="0"/>
              <w:right w:val="single" w:color="auto" w:sz="4" w:space="0"/>
            </w:tcBorders>
            <w:vAlign w:val="center"/>
          </w:tcPr>
          <w:p w14:paraId="5E142DDC">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3455BAC7">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355105FC">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3B49D144">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299A73AD">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4B7CA843">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2AC8C6F3">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CAB4651">
            <w:pPr>
              <w:widowControl w:val="0"/>
              <w:spacing w:line="360" w:lineRule="auto"/>
              <w:jc w:val="center"/>
              <w:rPr>
                <w:rFonts w:ascii="宋体" w:hAnsi="宋体" w:cs="宋体"/>
                <w:szCs w:val="24"/>
              </w:rPr>
            </w:pPr>
          </w:p>
        </w:tc>
      </w:tr>
      <w:tr w14:paraId="077AE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53073E33">
            <w:pPr>
              <w:widowControl w:val="0"/>
              <w:spacing w:line="360" w:lineRule="auto"/>
              <w:jc w:val="center"/>
              <w:rPr>
                <w:rFonts w:ascii="宋体" w:hAnsi="宋体" w:cs="宋体"/>
                <w:szCs w:val="24"/>
              </w:rPr>
            </w:pPr>
            <w:r>
              <w:rPr>
                <w:rFonts w:hint="eastAsia" w:ascii="宋体" w:hAnsi="宋体" w:cs="宋体"/>
                <w:szCs w:val="24"/>
              </w:rPr>
              <w:t>6</w:t>
            </w:r>
          </w:p>
        </w:tc>
        <w:tc>
          <w:tcPr>
            <w:tcW w:w="1173" w:type="dxa"/>
            <w:tcBorders>
              <w:top w:val="single" w:color="auto" w:sz="4" w:space="0"/>
              <w:left w:val="single" w:color="auto" w:sz="4" w:space="0"/>
              <w:bottom w:val="single" w:color="auto" w:sz="4" w:space="0"/>
              <w:right w:val="single" w:color="auto" w:sz="4" w:space="0"/>
            </w:tcBorders>
            <w:vAlign w:val="center"/>
          </w:tcPr>
          <w:p w14:paraId="1BA2FA5E">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5C9B0B02">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51B265FC">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7E3E8B19">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0082F050">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4647B275">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2EB298FD">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35F88E36">
            <w:pPr>
              <w:widowControl w:val="0"/>
              <w:spacing w:line="360" w:lineRule="auto"/>
              <w:jc w:val="center"/>
              <w:rPr>
                <w:rFonts w:ascii="宋体" w:hAnsi="宋体" w:cs="宋体"/>
                <w:szCs w:val="24"/>
              </w:rPr>
            </w:pPr>
          </w:p>
        </w:tc>
      </w:tr>
      <w:tr w14:paraId="79E10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39B7CCFD">
            <w:pPr>
              <w:widowControl w:val="0"/>
              <w:spacing w:line="360" w:lineRule="auto"/>
              <w:jc w:val="center"/>
              <w:rPr>
                <w:rFonts w:ascii="宋体" w:hAnsi="宋体" w:cs="宋体"/>
                <w:szCs w:val="24"/>
              </w:rPr>
            </w:pPr>
            <w:r>
              <w:rPr>
                <w:rFonts w:hint="eastAsia" w:ascii="宋体" w:hAnsi="宋体" w:cs="宋体"/>
                <w:szCs w:val="24"/>
              </w:rPr>
              <w:t>7</w:t>
            </w:r>
          </w:p>
        </w:tc>
        <w:tc>
          <w:tcPr>
            <w:tcW w:w="1173" w:type="dxa"/>
            <w:tcBorders>
              <w:top w:val="single" w:color="auto" w:sz="4" w:space="0"/>
              <w:left w:val="single" w:color="auto" w:sz="4" w:space="0"/>
              <w:bottom w:val="single" w:color="auto" w:sz="4" w:space="0"/>
              <w:right w:val="single" w:color="auto" w:sz="4" w:space="0"/>
            </w:tcBorders>
            <w:vAlign w:val="center"/>
          </w:tcPr>
          <w:p w14:paraId="52C99511">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0D92436F">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25EA2E4B">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334822F4">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5F612576">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2E6626CA">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467E89F6">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3DA3844">
            <w:pPr>
              <w:widowControl w:val="0"/>
              <w:spacing w:line="360" w:lineRule="auto"/>
              <w:jc w:val="center"/>
              <w:rPr>
                <w:rFonts w:ascii="宋体" w:hAnsi="宋体" w:cs="宋体"/>
                <w:szCs w:val="24"/>
              </w:rPr>
            </w:pPr>
          </w:p>
        </w:tc>
      </w:tr>
      <w:tr w14:paraId="51072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524897D5">
            <w:pPr>
              <w:widowControl w:val="0"/>
              <w:spacing w:line="360" w:lineRule="auto"/>
              <w:jc w:val="center"/>
              <w:rPr>
                <w:rFonts w:ascii="宋体" w:hAnsi="宋体" w:cs="宋体"/>
                <w:szCs w:val="24"/>
              </w:rPr>
            </w:pPr>
            <w:r>
              <w:rPr>
                <w:rFonts w:hint="eastAsia" w:ascii="宋体" w:hAnsi="宋体" w:cs="宋体"/>
                <w:szCs w:val="24"/>
              </w:rPr>
              <w:t>8</w:t>
            </w:r>
          </w:p>
        </w:tc>
        <w:tc>
          <w:tcPr>
            <w:tcW w:w="1173" w:type="dxa"/>
            <w:tcBorders>
              <w:top w:val="single" w:color="auto" w:sz="4" w:space="0"/>
              <w:left w:val="single" w:color="auto" w:sz="4" w:space="0"/>
              <w:bottom w:val="single" w:color="auto" w:sz="4" w:space="0"/>
              <w:right w:val="single" w:color="auto" w:sz="4" w:space="0"/>
            </w:tcBorders>
            <w:vAlign w:val="center"/>
          </w:tcPr>
          <w:p w14:paraId="6C7A7680">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4D5E5563">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3958A347">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25C89E04">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23D56A77">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013E5FAF">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0B27A735">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21EE73FF">
            <w:pPr>
              <w:widowControl w:val="0"/>
              <w:spacing w:line="360" w:lineRule="auto"/>
              <w:jc w:val="center"/>
              <w:rPr>
                <w:rFonts w:ascii="宋体" w:hAnsi="宋体" w:cs="宋体"/>
                <w:szCs w:val="24"/>
              </w:rPr>
            </w:pPr>
          </w:p>
        </w:tc>
      </w:tr>
      <w:tr w14:paraId="41C9D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4ACF7B27">
            <w:pPr>
              <w:widowControl w:val="0"/>
              <w:spacing w:line="360" w:lineRule="auto"/>
              <w:jc w:val="center"/>
              <w:rPr>
                <w:rFonts w:ascii="宋体" w:hAnsi="宋体" w:cs="宋体"/>
                <w:szCs w:val="24"/>
              </w:rPr>
            </w:pPr>
            <w:r>
              <w:rPr>
                <w:rFonts w:hint="eastAsia" w:ascii="宋体" w:hAnsi="宋体" w:cs="宋体"/>
                <w:szCs w:val="24"/>
              </w:rPr>
              <w:t>9</w:t>
            </w:r>
          </w:p>
        </w:tc>
        <w:tc>
          <w:tcPr>
            <w:tcW w:w="1173" w:type="dxa"/>
            <w:tcBorders>
              <w:top w:val="single" w:color="auto" w:sz="4" w:space="0"/>
              <w:left w:val="single" w:color="auto" w:sz="4" w:space="0"/>
              <w:bottom w:val="single" w:color="auto" w:sz="4" w:space="0"/>
              <w:right w:val="single" w:color="auto" w:sz="4" w:space="0"/>
            </w:tcBorders>
            <w:vAlign w:val="center"/>
          </w:tcPr>
          <w:p w14:paraId="69577CEA">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1D18304B">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2908FDA1">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4D805097">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791CBC79">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5141E690">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000B1D83">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212B1EE4">
            <w:pPr>
              <w:widowControl w:val="0"/>
              <w:spacing w:line="360" w:lineRule="auto"/>
              <w:jc w:val="center"/>
              <w:rPr>
                <w:rFonts w:ascii="宋体" w:hAnsi="宋体" w:cs="宋体"/>
                <w:szCs w:val="24"/>
              </w:rPr>
            </w:pPr>
          </w:p>
        </w:tc>
      </w:tr>
      <w:tr w14:paraId="22571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vAlign w:val="center"/>
          </w:tcPr>
          <w:p w14:paraId="2105425D">
            <w:pPr>
              <w:widowControl w:val="0"/>
              <w:spacing w:line="360" w:lineRule="auto"/>
              <w:jc w:val="center"/>
              <w:rPr>
                <w:rFonts w:ascii="宋体" w:hAnsi="宋体" w:cs="宋体"/>
                <w:szCs w:val="24"/>
              </w:rPr>
            </w:pPr>
            <w:r>
              <w:rPr>
                <w:rFonts w:hint="eastAsia" w:ascii="宋体" w:hAnsi="宋体" w:cs="宋体"/>
                <w:szCs w:val="24"/>
              </w:rPr>
              <w:t>…</w:t>
            </w:r>
          </w:p>
        </w:tc>
        <w:tc>
          <w:tcPr>
            <w:tcW w:w="1173" w:type="dxa"/>
            <w:tcBorders>
              <w:top w:val="single" w:color="auto" w:sz="4" w:space="0"/>
              <w:left w:val="single" w:color="auto" w:sz="4" w:space="0"/>
              <w:bottom w:val="single" w:color="auto" w:sz="4" w:space="0"/>
              <w:right w:val="single" w:color="auto" w:sz="4" w:space="0"/>
            </w:tcBorders>
            <w:vAlign w:val="center"/>
          </w:tcPr>
          <w:p w14:paraId="4886EDC4">
            <w:pPr>
              <w:widowControl w:val="0"/>
              <w:spacing w:line="360" w:lineRule="auto"/>
              <w:jc w:val="center"/>
              <w:rPr>
                <w:rFonts w:ascii="宋体" w:hAnsi="宋体" w:cs="宋体"/>
                <w:szCs w:val="24"/>
              </w:rPr>
            </w:pPr>
          </w:p>
        </w:tc>
        <w:tc>
          <w:tcPr>
            <w:tcW w:w="1053" w:type="dxa"/>
            <w:tcBorders>
              <w:top w:val="single" w:color="auto" w:sz="4" w:space="0"/>
              <w:left w:val="single" w:color="auto" w:sz="4" w:space="0"/>
              <w:bottom w:val="single" w:color="auto" w:sz="4" w:space="0"/>
              <w:right w:val="single" w:color="auto" w:sz="4" w:space="0"/>
            </w:tcBorders>
            <w:vAlign w:val="center"/>
          </w:tcPr>
          <w:p w14:paraId="57EFBB54">
            <w:pPr>
              <w:widowControl w:val="0"/>
              <w:spacing w:line="360" w:lineRule="auto"/>
              <w:jc w:val="center"/>
              <w:rPr>
                <w:rFonts w:ascii="宋体" w:hAnsi="宋体" w:cs="宋体"/>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2A9FD358">
            <w:pPr>
              <w:widowControl w:val="0"/>
              <w:spacing w:line="360" w:lineRule="auto"/>
              <w:jc w:val="center"/>
              <w:rPr>
                <w:rFonts w:ascii="宋体" w:hAnsi="宋体" w:cs="宋体"/>
                <w:szCs w:val="24"/>
              </w:rPr>
            </w:pPr>
          </w:p>
        </w:tc>
        <w:tc>
          <w:tcPr>
            <w:tcW w:w="796" w:type="dxa"/>
            <w:tcBorders>
              <w:top w:val="single" w:color="auto" w:sz="4" w:space="0"/>
              <w:left w:val="single" w:color="auto" w:sz="4" w:space="0"/>
              <w:bottom w:val="single" w:color="auto" w:sz="4" w:space="0"/>
              <w:right w:val="single" w:color="auto" w:sz="4" w:space="0"/>
            </w:tcBorders>
            <w:vAlign w:val="center"/>
          </w:tcPr>
          <w:p w14:paraId="78832265">
            <w:pPr>
              <w:widowControl w:val="0"/>
              <w:spacing w:line="360" w:lineRule="auto"/>
              <w:jc w:val="center"/>
              <w:rPr>
                <w:rFonts w:ascii="宋体" w:hAnsi="宋体" w:cs="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14:paraId="4B4F5C22">
            <w:pPr>
              <w:widowControl w:val="0"/>
              <w:spacing w:line="360" w:lineRule="auto"/>
              <w:jc w:val="center"/>
              <w:rPr>
                <w:rFonts w:ascii="宋体" w:hAnsi="宋体" w:cs="宋体"/>
                <w:szCs w:val="24"/>
              </w:rPr>
            </w:pPr>
          </w:p>
        </w:tc>
        <w:tc>
          <w:tcPr>
            <w:tcW w:w="1381" w:type="dxa"/>
            <w:tcBorders>
              <w:top w:val="single" w:color="auto" w:sz="4" w:space="0"/>
              <w:left w:val="single" w:color="auto" w:sz="4" w:space="0"/>
              <w:bottom w:val="single" w:color="auto" w:sz="4" w:space="0"/>
              <w:right w:val="single" w:color="auto" w:sz="4" w:space="0"/>
            </w:tcBorders>
            <w:vAlign w:val="center"/>
          </w:tcPr>
          <w:p w14:paraId="479AB1DF">
            <w:pPr>
              <w:widowControl w:val="0"/>
              <w:spacing w:line="360" w:lineRule="auto"/>
              <w:jc w:val="center"/>
              <w:rPr>
                <w:rFonts w:ascii="宋体" w:hAnsi="宋体" w:cs="宋体"/>
                <w:szCs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05EECDC1">
            <w:pPr>
              <w:widowControl w:val="0"/>
              <w:spacing w:line="360" w:lineRule="auto"/>
              <w:jc w:val="center"/>
              <w:rPr>
                <w:rFonts w:ascii="宋体" w:hAnsi="宋体" w:cs="宋体"/>
                <w:szCs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3B85CD2F">
            <w:pPr>
              <w:widowControl w:val="0"/>
              <w:spacing w:line="360" w:lineRule="auto"/>
              <w:jc w:val="center"/>
              <w:rPr>
                <w:rFonts w:ascii="宋体" w:hAnsi="宋体" w:cs="宋体"/>
                <w:szCs w:val="24"/>
              </w:rPr>
            </w:pPr>
          </w:p>
        </w:tc>
      </w:tr>
    </w:tbl>
    <w:p w14:paraId="0E512A68">
      <w:pPr>
        <w:widowControl w:val="0"/>
        <w:wordWrap w:val="0"/>
        <w:spacing w:line="360" w:lineRule="auto"/>
        <w:ind w:firstLine="480" w:firstLineChars="200"/>
        <w:jc w:val="both"/>
        <w:rPr>
          <w:rFonts w:ascii="宋体" w:hAnsi="宋体" w:cs="宋体"/>
          <w:szCs w:val="24"/>
        </w:rPr>
      </w:pPr>
    </w:p>
    <w:p w14:paraId="147B6AC5">
      <w:pPr>
        <w:widowControl w:val="0"/>
        <w:wordWrap w:val="0"/>
        <w:spacing w:line="360" w:lineRule="auto"/>
        <w:ind w:firstLine="480" w:firstLineChars="200"/>
        <w:jc w:val="both"/>
        <w:rPr>
          <w:rFonts w:ascii="宋体" w:hAnsi="宋体" w:cs="宋体"/>
          <w:szCs w:val="24"/>
        </w:rPr>
      </w:pPr>
      <w:r>
        <w:rPr>
          <w:rFonts w:hint="eastAsia" w:ascii="宋体" w:hAnsi="宋体" w:cs="宋体"/>
          <w:szCs w:val="24"/>
        </w:rPr>
        <w:t>投标人：（单位盖章）</w:t>
      </w:r>
    </w:p>
    <w:p w14:paraId="18C4C7C0">
      <w:pPr>
        <w:widowControl w:val="0"/>
        <w:wordWrap w:val="0"/>
        <w:spacing w:line="360" w:lineRule="auto"/>
        <w:ind w:firstLine="480" w:firstLineChars="200"/>
        <w:jc w:val="both"/>
        <w:rPr>
          <w:rFonts w:ascii="宋体" w:hAnsi="宋体" w:cs="宋体"/>
          <w:szCs w:val="24"/>
        </w:rPr>
      </w:pPr>
      <w:r>
        <w:rPr>
          <w:rFonts w:hint="eastAsia" w:ascii="宋体" w:hAnsi="宋体" w:cs="宋体"/>
          <w:szCs w:val="24"/>
        </w:rPr>
        <w:t>法定代表人或代理人：（签字或盖章）</w:t>
      </w:r>
    </w:p>
    <w:p w14:paraId="3BDA5006">
      <w:pPr>
        <w:widowControl w:val="0"/>
        <w:wordWrap w:val="0"/>
        <w:spacing w:line="360" w:lineRule="auto"/>
        <w:ind w:firstLine="480" w:firstLineChars="200"/>
        <w:jc w:val="both"/>
        <w:rPr>
          <w:rFonts w:ascii="宋体" w:hAnsi="宋体" w:cs="宋体"/>
          <w:szCs w:val="24"/>
        </w:rPr>
      </w:pPr>
      <w:r>
        <w:rPr>
          <w:rFonts w:hint="eastAsia" w:ascii="宋体" w:hAnsi="宋体" w:cs="宋体"/>
          <w:szCs w:val="24"/>
        </w:rPr>
        <w:t>日期：         年     月     日</w:t>
      </w:r>
    </w:p>
    <w:p w14:paraId="07C9D067">
      <w:pPr>
        <w:spacing w:line="360" w:lineRule="auto"/>
        <w:rPr>
          <w:b/>
          <w:szCs w:val="24"/>
        </w:rPr>
      </w:pPr>
    </w:p>
    <w:p w14:paraId="7A9A91D1">
      <w:pPr>
        <w:spacing w:line="360" w:lineRule="auto"/>
        <w:rPr>
          <w:rFonts w:hAnsi="宋体"/>
          <w:szCs w:val="24"/>
        </w:rPr>
      </w:pPr>
      <w:r>
        <w:rPr>
          <w:b/>
          <w:szCs w:val="24"/>
          <w:lang w:val="zh-CN"/>
        </w:rPr>
        <w:t>格式</w:t>
      </w:r>
      <w:r>
        <w:rPr>
          <w:rFonts w:hint="eastAsia"/>
          <w:b/>
          <w:szCs w:val="24"/>
        </w:rPr>
        <w:t>5</w:t>
      </w:r>
      <w:r>
        <w:rPr>
          <w:b/>
          <w:szCs w:val="24"/>
          <w:lang w:val="zh-CN"/>
        </w:rPr>
        <w:t>、</w:t>
      </w:r>
      <w:r>
        <w:rPr>
          <w:rFonts w:hint="eastAsia" w:hAnsi="宋体"/>
          <w:szCs w:val="24"/>
        </w:rPr>
        <w:t>偏离表</w:t>
      </w:r>
    </w:p>
    <w:p w14:paraId="1F255615">
      <w:pPr>
        <w:spacing w:line="360" w:lineRule="auto"/>
        <w:ind w:firstLine="480" w:firstLineChars="200"/>
        <w:rPr>
          <w:rFonts w:hAnsi="宋体"/>
          <w:szCs w:val="24"/>
        </w:rPr>
      </w:pPr>
      <w:r>
        <w:rPr>
          <w:rFonts w:hint="eastAsia" w:hAnsi="宋体"/>
          <w:szCs w:val="24"/>
        </w:rPr>
        <w:t>偏离表</w:t>
      </w:r>
    </w:p>
    <w:p w14:paraId="59CF9C11">
      <w:pPr>
        <w:spacing w:line="360" w:lineRule="auto"/>
        <w:ind w:firstLine="480" w:firstLineChars="200"/>
        <w:rPr>
          <w:rFonts w:hAnsi="宋体"/>
          <w:szCs w:val="24"/>
        </w:rPr>
      </w:pPr>
      <w:r>
        <w:rPr>
          <w:rFonts w:hint="eastAsia" w:hAnsi="宋体"/>
          <w:szCs w:val="24"/>
        </w:rPr>
        <w:t xml:space="preserve"> （1）技术部份</w:t>
      </w:r>
    </w:p>
    <w:tbl>
      <w:tblPr>
        <w:tblStyle w:val="5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68"/>
        <w:gridCol w:w="2693"/>
        <w:gridCol w:w="1701"/>
      </w:tblGrid>
      <w:tr w14:paraId="0B0E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267925AE">
            <w:pPr>
              <w:spacing w:line="360" w:lineRule="auto"/>
              <w:ind w:firstLine="480" w:firstLineChars="200"/>
              <w:rPr>
                <w:rFonts w:hAnsi="宋体"/>
                <w:szCs w:val="24"/>
              </w:rPr>
            </w:pPr>
            <w:r>
              <w:rPr>
                <w:rFonts w:hint="eastAsia" w:hAnsi="宋体"/>
                <w:szCs w:val="24"/>
              </w:rPr>
              <w:t>项      目</w:t>
            </w:r>
          </w:p>
        </w:tc>
        <w:tc>
          <w:tcPr>
            <w:tcW w:w="2268" w:type="dxa"/>
          </w:tcPr>
          <w:p w14:paraId="4E8B74E6">
            <w:pPr>
              <w:spacing w:line="360" w:lineRule="auto"/>
              <w:ind w:firstLine="480" w:firstLineChars="200"/>
              <w:rPr>
                <w:rFonts w:hAnsi="宋体"/>
                <w:szCs w:val="24"/>
              </w:rPr>
            </w:pPr>
            <w:r>
              <w:rPr>
                <w:rFonts w:hint="eastAsia" w:hAnsi="宋体"/>
                <w:szCs w:val="24"/>
              </w:rPr>
              <w:t>招标要求</w:t>
            </w:r>
          </w:p>
        </w:tc>
        <w:tc>
          <w:tcPr>
            <w:tcW w:w="2693" w:type="dxa"/>
          </w:tcPr>
          <w:p w14:paraId="17714B29">
            <w:pPr>
              <w:spacing w:line="360" w:lineRule="auto"/>
              <w:ind w:firstLine="480" w:firstLineChars="200"/>
              <w:rPr>
                <w:rFonts w:hAnsi="宋体"/>
                <w:szCs w:val="24"/>
              </w:rPr>
            </w:pPr>
            <w:r>
              <w:rPr>
                <w:rFonts w:hint="eastAsia" w:hAnsi="宋体"/>
                <w:szCs w:val="24"/>
              </w:rPr>
              <w:t>投标内容</w:t>
            </w:r>
          </w:p>
        </w:tc>
        <w:tc>
          <w:tcPr>
            <w:tcW w:w="1701" w:type="dxa"/>
          </w:tcPr>
          <w:p w14:paraId="3AB0D0C7">
            <w:pPr>
              <w:spacing w:line="360" w:lineRule="auto"/>
              <w:ind w:firstLine="480" w:firstLineChars="200"/>
              <w:rPr>
                <w:rFonts w:hAnsi="宋体"/>
                <w:szCs w:val="24"/>
              </w:rPr>
            </w:pPr>
            <w:r>
              <w:rPr>
                <w:rFonts w:hint="eastAsia" w:hAnsi="宋体"/>
                <w:szCs w:val="24"/>
              </w:rPr>
              <w:t>偏离说明</w:t>
            </w:r>
          </w:p>
        </w:tc>
      </w:tr>
      <w:tr w14:paraId="063B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6D4C04AC">
            <w:pPr>
              <w:spacing w:line="360" w:lineRule="auto"/>
              <w:ind w:firstLine="480" w:firstLineChars="200"/>
              <w:rPr>
                <w:rFonts w:hAnsi="宋体"/>
                <w:szCs w:val="24"/>
              </w:rPr>
            </w:pPr>
          </w:p>
        </w:tc>
        <w:tc>
          <w:tcPr>
            <w:tcW w:w="2268" w:type="dxa"/>
          </w:tcPr>
          <w:p w14:paraId="18FE1DB3">
            <w:pPr>
              <w:spacing w:line="360" w:lineRule="auto"/>
              <w:ind w:firstLine="480" w:firstLineChars="200"/>
              <w:rPr>
                <w:rFonts w:hAnsi="宋体"/>
                <w:szCs w:val="24"/>
              </w:rPr>
            </w:pPr>
          </w:p>
        </w:tc>
        <w:tc>
          <w:tcPr>
            <w:tcW w:w="2693" w:type="dxa"/>
          </w:tcPr>
          <w:p w14:paraId="1E22C54B">
            <w:pPr>
              <w:spacing w:line="360" w:lineRule="auto"/>
              <w:ind w:firstLine="480" w:firstLineChars="200"/>
              <w:rPr>
                <w:rFonts w:hAnsi="宋体"/>
                <w:szCs w:val="24"/>
              </w:rPr>
            </w:pPr>
          </w:p>
        </w:tc>
        <w:tc>
          <w:tcPr>
            <w:tcW w:w="1701" w:type="dxa"/>
          </w:tcPr>
          <w:p w14:paraId="5B02EE01">
            <w:pPr>
              <w:spacing w:line="360" w:lineRule="auto"/>
              <w:ind w:firstLine="480" w:firstLineChars="200"/>
              <w:rPr>
                <w:rFonts w:hAnsi="宋体"/>
                <w:szCs w:val="24"/>
              </w:rPr>
            </w:pPr>
          </w:p>
        </w:tc>
      </w:tr>
      <w:tr w14:paraId="4F27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028D9001">
            <w:pPr>
              <w:spacing w:line="360" w:lineRule="auto"/>
              <w:ind w:firstLine="480" w:firstLineChars="200"/>
              <w:rPr>
                <w:rFonts w:hAnsi="宋体"/>
                <w:szCs w:val="24"/>
              </w:rPr>
            </w:pPr>
          </w:p>
        </w:tc>
        <w:tc>
          <w:tcPr>
            <w:tcW w:w="2268" w:type="dxa"/>
          </w:tcPr>
          <w:p w14:paraId="0CA5DBF5">
            <w:pPr>
              <w:spacing w:line="360" w:lineRule="auto"/>
              <w:ind w:firstLine="480" w:firstLineChars="200"/>
              <w:rPr>
                <w:rFonts w:hAnsi="宋体"/>
                <w:szCs w:val="24"/>
              </w:rPr>
            </w:pPr>
          </w:p>
        </w:tc>
        <w:tc>
          <w:tcPr>
            <w:tcW w:w="2693" w:type="dxa"/>
          </w:tcPr>
          <w:p w14:paraId="09D54B86">
            <w:pPr>
              <w:spacing w:line="360" w:lineRule="auto"/>
              <w:ind w:firstLine="480" w:firstLineChars="200"/>
              <w:rPr>
                <w:rFonts w:hAnsi="宋体"/>
                <w:szCs w:val="24"/>
              </w:rPr>
            </w:pPr>
          </w:p>
        </w:tc>
        <w:tc>
          <w:tcPr>
            <w:tcW w:w="1701" w:type="dxa"/>
          </w:tcPr>
          <w:p w14:paraId="470FBF3B">
            <w:pPr>
              <w:spacing w:line="360" w:lineRule="auto"/>
              <w:ind w:firstLine="480" w:firstLineChars="200"/>
              <w:rPr>
                <w:rFonts w:hAnsi="宋体"/>
                <w:szCs w:val="24"/>
              </w:rPr>
            </w:pPr>
          </w:p>
        </w:tc>
      </w:tr>
      <w:tr w14:paraId="23A4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717D39DF">
            <w:pPr>
              <w:spacing w:line="360" w:lineRule="auto"/>
              <w:ind w:firstLine="480" w:firstLineChars="200"/>
              <w:rPr>
                <w:rFonts w:hAnsi="宋体"/>
                <w:szCs w:val="24"/>
              </w:rPr>
            </w:pPr>
          </w:p>
        </w:tc>
        <w:tc>
          <w:tcPr>
            <w:tcW w:w="2268" w:type="dxa"/>
          </w:tcPr>
          <w:p w14:paraId="4D5485C0">
            <w:pPr>
              <w:spacing w:line="360" w:lineRule="auto"/>
              <w:ind w:firstLine="480" w:firstLineChars="200"/>
              <w:rPr>
                <w:rFonts w:hAnsi="宋体"/>
                <w:szCs w:val="24"/>
              </w:rPr>
            </w:pPr>
          </w:p>
        </w:tc>
        <w:tc>
          <w:tcPr>
            <w:tcW w:w="2693" w:type="dxa"/>
          </w:tcPr>
          <w:p w14:paraId="4479B37E">
            <w:pPr>
              <w:spacing w:line="360" w:lineRule="auto"/>
              <w:ind w:firstLine="480" w:firstLineChars="200"/>
              <w:rPr>
                <w:rFonts w:hAnsi="宋体"/>
                <w:szCs w:val="24"/>
              </w:rPr>
            </w:pPr>
          </w:p>
        </w:tc>
        <w:tc>
          <w:tcPr>
            <w:tcW w:w="1701" w:type="dxa"/>
          </w:tcPr>
          <w:p w14:paraId="667A9EB2">
            <w:pPr>
              <w:spacing w:line="360" w:lineRule="auto"/>
              <w:ind w:firstLine="480" w:firstLineChars="200"/>
              <w:rPr>
                <w:rFonts w:hAnsi="宋体"/>
                <w:szCs w:val="24"/>
              </w:rPr>
            </w:pPr>
          </w:p>
        </w:tc>
      </w:tr>
    </w:tbl>
    <w:p w14:paraId="1ED453B2">
      <w:pPr>
        <w:spacing w:line="360" w:lineRule="auto"/>
        <w:ind w:firstLine="480" w:firstLineChars="200"/>
        <w:rPr>
          <w:rFonts w:hAnsi="宋体"/>
          <w:szCs w:val="24"/>
        </w:rPr>
      </w:pPr>
      <w:r>
        <w:rPr>
          <w:rFonts w:hint="eastAsia" w:hAnsi="宋体"/>
          <w:szCs w:val="24"/>
        </w:rPr>
        <w:t>注：如无特殊注明，只需注明有偏离部分，全无偏离的，注明无偏离即可。</w:t>
      </w:r>
    </w:p>
    <w:p w14:paraId="5FC4C1AC">
      <w:pPr>
        <w:spacing w:line="360" w:lineRule="auto"/>
        <w:ind w:firstLine="480" w:firstLineChars="200"/>
        <w:rPr>
          <w:rFonts w:hAnsi="宋体"/>
          <w:szCs w:val="24"/>
        </w:rPr>
      </w:pPr>
    </w:p>
    <w:p w14:paraId="6E2D3EE3">
      <w:pPr>
        <w:spacing w:line="360" w:lineRule="auto"/>
        <w:ind w:firstLine="480" w:firstLineChars="200"/>
        <w:rPr>
          <w:rFonts w:hAnsi="宋体"/>
          <w:szCs w:val="24"/>
        </w:rPr>
      </w:pPr>
      <w:r>
        <w:rPr>
          <w:rFonts w:hAnsi="宋体"/>
          <w:szCs w:val="24"/>
        </w:rPr>
        <w:t>投标</w:t>
      </w:r>
      <w:r>
        <w:rPr>
          <w:rFonts w:hint="eastAsia" w:hAnsi="宋体"/>
          <w:szCs w:val="24"/>
        </w:rPr>
        <w:t>单位</w:t>
      </w:r>
      <w:r>
        <w:rPr>
          <w:rFonts w:hAnsi="宋体"/>
          <w:szCs w:val="24"/>
        </w:rPr>
        <w:t>：（</w:t>
      </w:r>
      <w:r>
        <w:rPr>
          <w:rFonts w:hint="eastAsia" w:hAnsi="宋体"/>
          <w:szCs w:val="24"/>
        </w:rPr>
        <w:t>盖</w:t>
      </w:r>
      <w:r>
        <w:rPr>
          <w:rFonts w:hAnsi="宋体"/>
          <w:szCs w:val="24"/>
        </w:rPr>
        <w:t>章）</w:t>
      </w:r>
    </w:p>
    <w:p w14:paraId="32477BB0">
      <w:pPr>
        <w:spacing w:line="360" w:lineRule="auto"/>
        <w:ind w:firstLine="480" w:firstLineChars="200"/>
        <w:rPr>
          <w:rFonts w:hAnsi="宋体"/>
          <w:szCs w:val="24"/>
        </w:rPr>
      </w:pPr>
      <w:r>
        <w:rPr>
          <w:rFonts w:hAnsi="宋体"/>
          <w:szCs w:val="24"/>
        </w:rPr>
        <w:t>法定代表人或</w:t>
      </w:r>
      <w:r>
        <w:rPr>
          <w:rFonts w:hint="eastAsia" w:hAnsi="宋体"/>
          <w:szCs w:val="24"/>
        </w:rPr>
        <w:t>授权委托</w:t>
      </w:r>
      <w:r>
        <w:rPr>
          <w:rFonts w:hAnsi="宋体"/>
          <w:szCs w:val="24"/>
        </w:rPr>
        <w:t>人：（签字或盖章）                   年  月  日</w:t>
      </w:r>
    </w:p>
    <w:p w14:paraId="5B5F2FC5">
      <w:pPr>
        <w:spacing w:line="360" w:lineRule="auto"/>
        <w:ind w:firstLine="480" w:firstLineChars="200"/>
        <w:rPr>
          <w:rFonts w:hAnsi="宋体"/>
          <w:szCs w:val="24"/>
        </w:rPr>
      </w:pPr>
    </w:p>
    <w:p w14:paraId="0EFDC772">
      <w:pPr>
        <w:spacing w:line="360" w:lineRule="auto"/>
        <w:ind w:firstLine="480" w:firstLineChars="200"/>
        <w:rPr>
          <w:rFonts w:hAnsi="宋体"/>
          <w:szCs w:val="24"/>
        </w:rPr>
      </w:pPr>
      <w:r>
        <w:rPr>
          <w:rFonts w:hint="eastAsia" w:hAnsi="宋体"/>
          <w:szCs w:val="24"/>
        </w:rPr>
        <w:t>（2）商务及付款方式部份</w:t>
      </w:r>
    </w:p>
    <w:tbl>
      <w:tblPr>
        <w:tblStyle w:val="5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268"/>
        <w:gridCol w:w="2693"/>
        <w:gridCol w:w="1701"/>
      </w:tblGrid>
      <w:tr w14:paraId="4498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339BFF29">
            <w:pPr>
              <w:spacing w:line="360" w:lineRule="auto"/>
              <w:ind w:firstLine="480" w:firstLineChars="200"/>
              <w:rPr>
                <w:rFonts w:hAnsi="宋体"/>
                <w:szCs w:val="24"/>
              </w:rPr>
            </w:pPr>
            <w:r>
              <w:rPr>
                <w:rFonts w:hint="eastAsia" w:hAnsi="宋体"/>
                <w:szCs w:val="24"/>
              </w:rPr>
              <w:t>项      目</w:t>
            </w:r>
          </w:p>
        </w:tc>
        <w:tc>
          <w:tcPr>
            <w:tcW w:w="2268" w:type="dxa"/>
          </w:tcPr>
          <w:p w14:paraId="4C216D91">
            <w:pPr>
              <w:spacing w:line="360" w:lineRule="auto"/>
              <w:ind w:firstLine="480" w:firstLineChars="200"/>
              <w:rPr>
                <w:rFonts w:hAnsi="宋体"/>
                <w:szCs w:val="24"/>
              </w:rPr>
            </w:pPr>
            <w:r>
              <w:rPr>
                <w:rFonts w:hint="eastAsia" w:hAnsi="宋体"/>
                <w:szCs w:val="24"/>
              </w:rPr>
              <w:t>招标要求</w:t>
            </w:r>
          </w:p>
        </w:tc>
        <w:tc>
          <w:tcPr>
            <w:tcW w:w="2693" w:type="dxa"/>
          </w:tcPr>
          <w:p w14:paraId="7C27E714">
            <w:pPr>
              <w:spacing w:line="360" w:lineRule="auto"/>
              <w:ind w:firstLine="480" w:firstLineChars="200"/>
              <w:rPr>
                <w:rFonts w:hAnsi="宋体"/>
                <w:szCs w:val="24"/>
              </w:rPr>
            </w:pPr>
            <w:r>
              <w:rPr>
                <w:rFonts w:hint="eastAsia" w:hAnsi="宋体"/>
                <w:szCs w:val="24"/>
              </w:rPr>
              <w:t>投标内容</w:t>
            </w:r>
          </w:p>
        </w:tc>
        <w:tc>
          <w:tcPr>
            <w:tcW w:w="1701" w:type="dxa"/>
          </w:tcPr>
          <w:p w14:paraId="29556FF4">
            <w:pPr>
              <w:spacing w:line="360" w:lineRule="auto"/>
              <w:ind w:firstLine="480" w:firstLineChars="200"/>
              <w:rPr>
                <w:rFonts w:hAnsi="宋体"/>
                <w:szCs w:val="24"/>
              </w:rPr>
            </w:pPr>
            <w:r>
              <w:rPr>
                <w:rFonts w:hint="eastAsia" w:hAnsi="宋体"/>
                <w:szCs w:val="24"/>
              </w:rPr>
              <w:t>偏离说明</w:t>
            </w:r>
          </w:p>
        </w:tc>
      </w:tr>
      <w:tr w14:paraId="4A08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5D4301E9">
            <w:pPr>
              <w:spacing w:line="360" w:lineRule="auto"/>
              <w:ind w:firstLine="480" w:firstLineChars="200"/>
              <w:rPr>
                <w:rFonts w:hAnsi="宋体"/>
                <w:szCs w:val="24"/>
              </w:rPr>
            </w:pPr>
          </w:p>
        </w:tc>
        <w:tc>
          <w:tcPr>
            <w:tcW w:w="2268" w:type="dxa"/>
          </w:tcPr>
          <w:p w14:paraId="26B7DA78">
            <w:pPr>
              <w:spacing w:line="360" w:lineRule="auto"/>
              <w:ind w:firstLine="480" w:firstLineChars="200"/>
              <w:rPr>
                <w:rFonts w:hAnsi="宋体"/>
                <w:szCs w:val="24"/>
              </w:rPr>
            </w:pPr>
          </w:p>
        </w:tc>
        <w:tc>
          <w:tcPr>
            <w:tcW w:w="2693" w:type="dxa"/>
          </w:tcPr>
          <w:p w14:paraId="6D2FC2A2">
            <w:pPr>
              <w:spacing w:line="360" w:lineRule="auto"/>
              <w:ind w:firstLine="480" w:firstLineChars="200"/>
              <w:rPr>
                <w:rFonts w:hAnsi="宋体"/>
                <w:szCs w:val="24"/>
              </w:rPr>
            </w:pPr>
          </w:p>
        </w:tc>
        <w:tc>
          <w:tcPr>
            <w:tcW w:w="1701" w:type="dxa"/>
          </w:tcPr>
          <w:p w14:paraId="7BCA3422">
            <w:pPr>
              <w:spacing w:line="360" w:lineRule="auto"/>
              <w:ind w:firstLine="480" w:firstLineChars="200"/>
              <w:rPr>
                <w:rFonts w:hAnsi="宋体"/>
                <w:szCs w:val="24"/>
              </w:rPr>
            </w:pPr>
          </w:p>
        </w:tc>
      </w:tr>
      <w:tr w14:paraId="6C8E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0A945205">
            <w:pPr>
              <w:spacing w:line="360" w:lineRule="auto"/>
              <w:ind w:firstLine="480" w:firstLineChars="200"/>
              <w:rPr>
                <w:rFonts w:hAnsi="宋体"/>
                <w:szCs w:val="24"/>
              </w:rPr>
            </w:pPr>
          </w:p>
        </w:tc>
        <w:tc>
          <w:tcPr>
            <w:tcW w:w="2268" w:type="dxa"/>
          </w:tcPr>
          <w:p w14:paraId="2EAE21C8">
            <w:pPr>
              <w:spacing w:line="360" w:lineRule="auto"/>
              <w:ind w:firstLine="480" w:firstLineChars="200"/>
              <w:rPr>
                <w:rFonts w:hAnsi="宋体"/>
                <w:szCs w:val="24"/>
              </w:rPr>
            </w:pPr>
          </w:p>
        </w:tc>
        <w:tc>
          <w:tcPr>
            <w:tcW w:w="2693" w:type="dxa"/>
          </w:tcPr>
          <w:p w14:paraId="4A7E07B9">
            <w:pPr>
              <w:spacing w:line="360" w:lineRule="auto"/>
              <w:ind w:firstLine="480" w:firstLineChars="200"/>
              <w:rPr>
                <w:rFonts w:hAnsi="宋体"/>
                <w:szCs w:val="24"/>
              </w:rPr>
            </w:pPr>
          </w:p>
        </w:tc>
        <w:tc>
          <w:tcPr>
            <w:tcW w:w="1701" w:type="dxa"/>
          </w:tcPr>
          <w:p w14:paraId="46D0FA30">
            <w:pPr>
              <w:spacing w:line="360" w:lineRule="auto"/>
              <w:ind w:firstLine="480" w:firstLineChars="200"/>
              <w:rPr>
                <w:rFonts w:hAnsi="宋体"/>
                <w:szCs w:val="24"/>
              </w:rPr>
            </w:pPr>
          </w:p>
        </w:tc>
      </w:tr>
      <w:tr w14:paraId="75CA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14:paraId="41C02F23">
            <w:pPr>
              <w:spacing w:line="360" w:lineRule="auto"/>
              <w:ind w:firstLine="480" w:firstLineChars="200"/>
              <w:rPr>
                <w:rFonts w:hAnsi="宋体"/>
                <w:szCs w:val="24"/>
              </w:rPr>
            </w:pPr>
          </w:p>
        </w:tc>
        <w:tc>
          <w:tcPr>
            <w:tcW w:w="2268" w:type="dxa"/>
          </w:tcPr>
          <w:p w14:paraId="1443743C">
            <w:pPr>
              <w:spacing w:line="360" w:lineRule="auto"/>
              <w:ind w:firstLine="480" w:firstLineChars="200"/>
              <w:rPr>
                <w:rFonts w:hAnsi="宋体"/>
                <w:szCs w:val="24"/>
              </w:rPr>
            </w:pPr>
          </w:p>
        </w:tc>
        <w:tc>
          <w:tcPr>
            <w:tcW w:w="2693" w:type="dxa"/>
          </w:tcPr>
          <w:p w14:paraId="30F3B9FF">
            <w:pPr>
              <w:spacing w:line="360" w:lineRule="auto"/>
              <w:ind w:firstLine="480" w:firstLineChars="200"/>
              <w:rPr>
                <w:rFonts w:hAnsi="宋体"/>
                <w:szCs w:val="24"/>
              </w:rPr>
            </w:pPr>
          </w:p>
        </w:tc>
        <w:tc>
          <w:tcPr>
            <w:tcW w:w="1701" w:type="dxa"/>
          </w:tcPr>
          <w:p w14:paraId="77275A27">
            <w:pPr>
              <w:spacing w:line="360" w:lineRule="auto"/>
              <w:ind w:firstLine="480" w:firstLineChars="200"/>
              <w:rPr>
                <w:rFonts w:hAnsi="宋体"/>
                <w:szCs w:val="24"/>
              </w:rPr>
            </w:pPr>
          </w:p>
        </w:tc>
      </w:tr>
    </w:tbl>
    <w:p w14:paraId="20696999">
      <w:pPr>
        <w:spacing w:line="360" w:lineRule="auto"/>
        <w:ind w:firstLine="480" w:firstLineChars="200"/>
        <w:rPr>
          <w:rFonts w:hAnsi="宋体"/>
          <w:szCs w:val="24"/>
        </w:rPr>
      </w:pPr>
      <w:r>
        <w:rPr>
          <w:rFonts w:hint="eastAsia" w:hAnsi="宋体"/>
          <w:szCs w:val="24"/>
        </w:rPr>
        <w:t>注：如无特殊注明，只需注明有偏离部分，全无偏离的，注明无偏离即可。</w:t>
      </w:r>
    </w:p>
    <w:p w14:paraId="2DC7B840">
      <w:pPr>
        <w:spacing w:line="360" w:lineRule="auto"/>
        <w:ind w:firstLine="480" w:firstLineChars="200"/>
        <w:rPr>
          <w:rFonts w:hAnsi="宋体"/>
          <w:szCs w:val="24"/>
        </w:rPr>
      </w:pPr>
    </w:p>
    <w:p w14:paraId="6DA39A39">
      <w:pPr>
        <w:spacing w:line="360" w:lineRule="auto"/>
        <w:ind w:firstLine="480" w:firstLineChars="200"/>
        <w:rPr>
          <w:rFonts w:hAnsi="宋体"/>
          <w:szCs w:val="24"/>
        </w:rPr>
      </w:pPr>
      <w:r>
        <w:rPr>
          <w:rFonts w:hAnsi="宋体"/>
          <w:szCs w:val="24"/>
        </w:rPr>
        <w:t>投标</w:t>
      </w:r>
      <w:r>
        <w:rPr>
          <w:rFonts w:hint="eastAsia" w:hAnsi="宋体"/>
          <w:szCs w:val="24"/>
        </w:rPr>
        <w:t>单位</w:t>
      </w:r>
      <w:r>
        <w:rPr>
          <w:rFonts w:hAnsi="宋体"/>
          <w:szCs w:val="24"/>
        </w:rPr>
        <w:t>：（</w:t>
      </w:r>
      <w:r>
        <w:rPr>
          <w:rFonts w:hint="eastAsia" w:hAnsi="宋体"/>
          <w:szCs w:val="24"/>
        </w:rPr>
        <w:t>盖</w:t>
      </w:r>
      <w:r>
        <w:rPr>
          <w:rFonts w:hAnsi="宋体"/>
          <w:szCs w:val="24"/>
        </w:rPr>
        <w:t>章）</w:t>
      </w:r>
    </w:p>
    <w:p w14:paraId="62D2902F">
      <w:pPr>
        <w:spacing w:line="360" w:lineRule="auto"/>
        <w:ind w:firstLine="480" w:firstLineChars="200"/>
        <w:rPr>
          <w:rFonts w:hAnsi="宋体"/>
          <w:szCs w:val="24"/>
        </w:rPr>
      </w:pPr>
      <w:r>
        <w:rPr>
          <w:rFonts w:hAnsi="宋体"/>
          <w:szCs w:val="24"/>
        </w:rPr>
        <w:t>法定代表人或</w:t>
      </w:r>
      <w:r>
        <w:rPr>
          <w:rFonts w:hint="eastAsia" w:hAnsi="宋体"/>
          <w:szCs w:val="24"/>
        </w:rPr>
        <w:t>授权委托</w:t>
      </w:r>
      <w:r>
        <w:rPr>
          <w:rFonts w:hAnsi="宋体"/>
          <w:szCs w:val="24"/>
        </w:rPr>
        <w:t>人：（签字或盖章）                   年  月  日</w:t>
      </w:r>
    </w:p>
    <w:p w14:paraId="15F020EA">
      <w:pPr>
        <w:pStyle w:val="9"/>
        <w:overflowPunct w:val="0"/>
        <w:ind w:firstLine="0"/>
        <w:rPr>
          <w:rFonts w:ascii="宋体" w:eastAsia="宋体"/>
          <w:b/>
          <w:bCs/>
          <w:sz w:val="21"/>
          <w:szCs w:val="21"/>
        </w:rPr>
      </w:pPr>
    </w:p>
    <w:p w14:paraId="15798393">
      <w:pPr>
        <w:snapToGrid w:val="0"/>
        <w:ind w:left="-48" w:leftChars="-20" w:right="357"/>
        <w:rPr>
          <w:b/>
          <w:szCs w:val="24"/>
        </w:rPr>
      </w:pPr>
      <w:r>
        <w:rPr>
          <w:b/>
          <w:kern w:val="2"/>
          <w:szCs w:val="24"/>
          <w:lang w:val="zh-CN"/>
        </w:rPr>
        <w:t>格式</w:t>
      </w:r>
      <w:r>
        <w:rPr>
          <w:rFonts w:hint="eastAsia"/>
          <w:b/>
          <w:kern w:val="2"/>
          <w:szCs w:val="24"/>
          <w:lang w:val="zh-CN"/>
        </w:rPr>
        <w:t>6</w:t>
      </w:r>
      <w:r>
        <w:rPr>
          <w:rFonts w:hint="eastAsia"/>
          <w:b/>
          <w:szCs w:val="24"/>
        </w:rPr>
        <w:t>、类似项目一览表（格式可自行编写）</w:t>
      </w:r>
    </w:p>
    <w:p w14:paraId="231CDCC6">
      <w:pPr>
        <w:spacing w:line="360" w:lineRule="auto"/>
        <w:jc w:val="center"/>
        <w:rPr>
          <w:rFonts w:ascii="黑体" w:eastAsia="黑体"/>
          <w:b/>
          <w:sz w:val="30"/>
          <w:szCs w:val="30"/>
        </w:rPr>
      </w:pPr>
      <w:r>
        <w:rPr>
          <w:rFonts w:hint="eastAsia" w:ascii="黑体" w:eastAsia="黑体"/>
          <w:b/>
          <w:sz w:val="30"/>
          <w:szCs w:val="30"/>
        </w:rPr>
        <w:t>类似项目一览表</w:t>
      </w:r>
    </w:p>
    <w:p w14:paraId="784C5EAC">
      <w:pPr>
        <w:pStyle w:val="9"/>
        <w:overflowPunct w:val="0"/>
        <w:spacing w:line="360" w:lineRule="auto"/>
        <w:ind w:firstLine="0"/>
        <w:jc w:val="both"/>
        <w:rPr>
          <w:rFonts w:ascii="宋体" w:hAnsi="宋体" w:eastAsia="宋体"/>
          <w:bCs/>
          <w:szCs w:val="24"/>
        </w:rPr>
      </w:pPr>
      <w:r>
        <w:rPr>
          <w:rFonts w:hAnsi="宋体" w:eastAsia="宋体"/>
          <w:kern w:val="2"/>
          <w:szCs w:val="24"/>
          <w:lang w:val="zh-CN"/>
        </w:rPr>
        <w:t>招标编号：</w:t>
      </w:r>
    </w:p>
    <w:tbl>
      <w:tblPr>
        <w:tblStyle w:val="5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8"/>
        <w:gridCol w:w="1453"/>
        <w:gridCol w:w="1453"/>
        <w:gridCol w:w="1729"/>
        <w:gridCol w:w="1874"/>
        <w:gridCol w:w="1977"/>
      </w:tblGrid>
      <w:tr w14:paraId="62D5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2" w:hRule="atLeast"/>
        </w:trPr>
        <w:tc>
          <w:tcPr>
            <w:tcW w:w="898" w:type="dxa"/>
            <w:tcBorders>
              <w:top w:val="single" w:color="auto" w:sz="6" w:space="0"/>
              <w:left w:val="single" w:color="auto" w:sz="6" w:space="0"/>
              <w:bottom w:val="single" w:color="auto" w:sz="6" w:space="0"/>
              <w:right w:val="single" w:color="auto" w:sz="6" w:space="0"/>
            </w:tcBorders>
            <w:vAlign w:val="center"/>
          </w:tcPr>
          <w:p w14:paraId="1F28F210">
            <w:pPr>
              <w:pStyle w:val="9"/>
              <w:overflowPunct w:val="0"/>
              <w:ind w:firstLine="0"/>
              <w:jc w:val="center"/>
              <w:rPr>
                <w:rFonts w:eastAsia="宋体"/>
                <w:bCs/>
                <w:szCs w:val="24"/>
              </w:rPr>
            </w:pPr>
            <w:r>
              <w:rPr>
                <w:rFonts w:hAnsi="宋体" w:eastAsia="宋体"/>
                <w:bCs/>
                <w:szCs w:val="24"/>
              </w:rPr>
              <w:t>序号</w:t>
            </w:r>
          </w:p>
        </w:tc>
        <w:tc>
          <w:tcPr>
            <w:tcW w:w="1453" w:type="dxa"/>
            <w:tcBorders>
              <w:top w:val="single" w:color="auto" w:sz="6" w:space="0"/>
              <w:left w:val="single" w:color="auto" w:sz="6" w:space="0"/>
              <w:bottom w:val="single" w:color="auto" w:sz="6" w:space="0"/>
              <w:right w:val="single" w:color="auto" w:sz="6" w:space="0"/>
            </w:tcBorders>
            <w:vAlign w:val="center"/>
          </w:tcPr>
          <w:p w14:paraId="7C956BE0">
            <w:pPr>
              <w:pStyle w:val="9"/>
              <w:overflowPunct w:val="0"/>
              <w:ind w:firstLine="0"/>
              <w:jc w:val="center"/>
              <w:rPr>
                <w:rFonts w:eastAsia="宋体"/>
                <w:bCs/>
                <w:szCs w:val="24"/>
              </w:rPr>
            </w:pPr>
            <w:r>
              <w:rPr>
                <w:rFonts w:hAnsi="宋体" w:eastAsia="宋体"/>
                <w:bCs/>
                <w:szCs w:val="24"/>
              </w:rPr>
              <w:t>项目名称</w:t>
            </w:r>
          </w:p>
        </w:tc>
        <w:tc>
          <w:tcPr>
            <w:tcW w:w="1453" w:type="dxa"/>
            <w:tcBorders>
              <w:top w:val="single" w:color="auto" w:sz="6" w:space="0"/>
              <w:left w:val="single" w:color="auto" w:sz="6" w:space="0"/>
              <w:bottom w:val="single" w:color="auto" w:sz="6" w:space="0"/>
              <w:right w:val="single" w:color="auto" w:sz="6" w:space="0"/>
            </w:tcBorders>
            <w:vAlign w:val="center"/>
          </w:tcPr>
          <w:p w14:paraId="4B11621C">
            <w:pPr>
              <w:pStyle w:val="9"/>
              <w:overflowPunct w:val="0"/>
              <w:ind w:firstLine="0"/>
              <w:jc w:val="center"/>
              <w:rPr>
                <w:rFonts w:eastAsia="宋体"/>
                <w:bCs/>
                <w:szCs w:val="24"/>
              </w:rPr>
            </w:pPr>
            <w:r>
              <w:rPr>
                <w:rFonts w:hint="eastAsia" w:hAnsi="宋体" w:eastAsia="宋体"/>
                <w:bCs/>
                <w:szCs w:val="24"/>
              </w:rPr>
              <w:t>采购单位</w:t>
            </w:r>
          </w:p>
        </w:tc>
        <w:tc>
          <w:tcPr>
            <w:tcW w:w="1729" w:type="dxa"/>
            <w:tcBorders>
              <w:top w:val="single" w:color="auto" w:sz="6" w:space="0"/>
              <w:left w:val="single" w:color="auto" w:sz="6" w:space="0"/>
              <w:bottom w:val="single" w:color="auto" w:sz="6" w:space="0"/>
              <w:right w:val="single" w:color="auto" w:sz="4" w:space="0"/>
            </w:tcBorders>
            <w:vAlign w:val="center"/>
          </w:tcPr>
          <w:p w14:paraId="2F28C840">
            <w:pPr>
              <w:pStyle w:val="9"/>
              <w:overflowPunct w:val="0"/>
              <w:ind w:firstLine="0"/>
              <w:jc w:val="center"/>
              <w:rPr>
                <w:rFonts w:eastAsia="宋体"/>
                <w:bCs/>
                <w:szCs w:val="24"/>
              </w:rPr>
            </w:pPr>
            <w:r>
              <w:rPr>
                <w:rFonts w:hint="eastAsia" w:eastAsia="宋体"/>
                <w:bCs/>
                <w:szCs w:val="24"/>
              </w:rPr>
              <w:t>签订时间</w:t>
            </w:r>
          </w:p>
        </w:tc>
        <w:tc>
          <w:tcPr>
            <w:tcW w:w="1874" w:type="dxa"/>
            <w:tcBorders>
              <w:top w:val="single" w:color="auto" w:sz="6" w:space="0"/>
              <w:left w:val="single" w:color="auto" w:sz="4" w:space="0"/>
              <w:bottom w:val="single" w:color="auto" w:sz="6" w:space="0"/>
              <w:right w:val="single" w:color="auto" w:sz="4" w:space="0"/>
            </w:tcBorders>
            <w:vAlign w:val="center"/>
          </w:tcPr>
          <w:p w14:paraId="07708B07">
            <w:pPr>
              <w:pStyle w:val="9"/>
              <w:overflowPunct w:val="0"/>
              <w:ind w:firstLine="0"/>
              <w:jc w:val="center"/>
              <w:rPr>
                <w:rFonts w:eastAsia="宋体"/>
                <w:bCs/>
                <w:szCs w:val="24"/>
              </w:rPr>
            </w:pPr>
            <w:r>
              <w:rPr>
                <w:rFonts w:hAnsi="宋体" w:eastAsia="宋体"/>
                <w:bCs/>
                <w:szCs w:val="24"/>
              </w:rPr>
              <w:t>合同金额（万元）</w:t>
            </w:r>
          </w:p>
        </w:tc>
        <w:tc>
          <w:tcPr>
            <w:tcW w:w="1977" w:type="dxa"/>
            <w:tcBorders>
              <w:top w:val="single" w:color="auto" w:sz="6" w:space="0"/>
              <w:left w:val="single" w:color="auto" w:sz="6" w:space="0"/>
              <w:bottom w:val="single" w:color="auto" w:sz="6" w:space="0"/>
              <w:right w:val="single" w:color="auto" w:sz="6" w:space="0"/>
            </w:tcBorders>
            <w:vAlign w:val="center"/>
          </w:tcPr>
          <w:p w14:paraId="56900CE5">
            <w:pPr>
              <w:pStyle w:val="9"/>
              <w:overflowPunct w:val="0"/>
              <w:ind w:firstLine="0"/>
              <w:jc w:val="center"/>
              <w:rPr>
                <w:rFonts w:eastAsia="宋体"/>
                <w:bCs/>
                <w:szCs w:val="24"/>
              </w:rPr>
            </w:pPr>
            <w:r>
              <w:rPr>
                <w:rFonts w:hAnsi="宋体" w:eastAsia="宋体"/>
                <w:bCs/>
                <w:szCs w:val="24"/>
              </w:rPr>
              <w:t>备注</w:t>
            </w:r>
          </w:p>
        </w:tc>
      </w:tr>
      <w:tr w14:paraId="1983A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898" w:type="dxa"/>
            <w:tcBorders>
              <w:top w:val="single" w:color="auto" w:sz="6" w:space="0"/>
              <w:left w:val="single" w:color="auto" w:sz="6" w:space="0"/>
              <w:bottom w:val="single" w:color="auto" w:sz="6" w:space="0"/>
              <w:right w:val="single" w:color="auto" w:sz="6" w:space="0"/>
            </w:tcBorders>
            <w:vAlign w:val="center"/>
          </w:tcPr>
          <w:p w14:paraId="1C283EE9">
            <w:pPr>
              <w:pStyle w:val="9"/>
              <w:overflowPunct w:val="0"/>
              <w:ind w:firstLine="0"/>
              <w:jc w:val="center"/>
              <w:rPr>
                <w:rFonts w:eastAsia="宋体"/>
                <w:bCs/>
                <w:szCs w:val="24"/>
              </w:rPr>
            </w:pPr>
            <w:r>
              <w:rPr>
                <w:rFonts w:eastAsia="宋体"/>
                <w:bCs/>
                <w:szCs w:val="24"/>
              </w:rPr>
              <w:t>1</w:t>
            </w:r>
          </w:p>
        </w:tc>
        <w:tc>
          <w:tcPr>
            <w:tcW w:w="1453" w:type="dxa"/>
            <w:tcBorders>
              <w:top w:val="single" w:color="auto" w:sz="6" w:space="0"/>
              <w:left w:val="single" w:color="auto" w:sz="6" w:space="0"/>
              <w:bottom w:val="single" w:color="auto" w:sz="6" w:space="0"/>
              <w:right w:val="single" w:color="auto" w:sz="6" w:space="0"/>
            </w:tcBorders>
            <w:vAlign w:val="center"/>
          </w:tcPr>
          <w:p w14:paraId="18944FE0">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378CC9AE">
            <w:pPr>
              <w:pStyle w:val="9"/>
              <w:overflowPunct w:val="0"/>
              <w:ind w:firstLine="0"/>
              <w:jc w:val="center"/>
              <w:rPr>
                <w:rFonts w:eastAsia="宋体"/>
                <w:bCs/>
                <w:szCs w:val="24"/>
              </w:rPr>
            </w:pPr>
          </w:p>
        </w:tc>
        <w:tc>
          <w:tcPr>
            <w:tcW w:w="1729" w:type="dxa"/>
            <w:tcBorders>
              <w:top w:val="single" w:color="auto" w:sz="6" w:space="0"/>
              <w:left w:val="single" w:color="auto" w:sz="6" w:space="0"/>
              <w:bottom w:val="single" w:color="auto" w:sz="6" w:space="0"/>
              <w:right w:val="single" w:color="auto" w:sz="4" w:space="0"/>
            </w:tcBorders>
            <w:vAlign w:val="center"/>
          </w:tcPr>
          <w:p w14:paraId="06174A84">
            <w:pPr>
              <w:pStyle w:val="9"/>
              <w:overflowPunct w:val="0"/>
              <w:ind w:firstLine="0"/>
              <w:jc w:val="center"/>
              <w:rPr>
                <w:rFonts w:eastAsia="宋体"/>
                <w:bCs/>
                <w:szCs w:val="24"/>
              </w:rPr>
            </w:pPr>
          </w:p>
        </w:tc>
        <w:tc>
          <w:tcPr>
            <w:tcW w:w="1874" w:type="dxa"/>
            <w:tcBorders>
              <w:top w:val="single" w:color="auto" w:sz="6" w:space="0"/>
              <w:left w:val="single" w:color="auto" w:sz="4" w:space="0"/>
              <w:bottom w:val="single" w:color="auto" w:sz="6" w:space="0"/>
              <w:right w:val="single" w:color="auto" w:sz="4" w:space="0"/>
            </w:tcBorders>
            <w:vAlign w:val="center"/>
          </w:tcPr>
          <w:p w14:paraId="5677550A">
            <w:pPr>
              <w:pStyle w:val="9"/>
              <w:overflowPunct w:val="0"/>
              <w:ind w:firstLine="0"/>
              <w:jc w:val="center"/>
              <w:rPr>
                <w:rFonts w:eastAsia="宋体"/>
                <w:bCs/>
                <w:szCs w:val="24"/>
              </w:rPr>
            </w:pPr>
          </w:p>
        </w:tc>
        <w:tc>
          <w:tcPr>
            <w:tcW w:w="1977" w:type="dxa"/>
            <w:tcBorders>
              <w:top w:val="single" w:color="auto" w:sz="6" w:space="0"/>
              <w:left w:val="single" w:color="auto" w:sz="6" w:space="0"/>
              <w:bottom w:val="single" w:color="auto" w:sz="6" w:space="0"/>
              <w:right w:val="single" w:color="auto" w:sz="6" w:space="0"/>
            </w:tcBorders>
            <w:vAlign w:val="center"/>
          </w:tcPr>
          <w:p w14:paraId="2040F835">
            <w:pPr>
              <w:pStyle w:val="9"/>
              <w:overflowPunct w:val="0"/>
              <w:ind w:firstLine="0"/>
              <w:jc w:val="center"/>
              <w:rPr>
                <w:rFonts w:eastAsia="宋体"/>
                <w:bCs/>
                <w:szCs w:val="24"/>
              </w:rPr>
            </w:pPr>
          </w:p>
        </w:tc>
      </w:tr>
      <w:tr w14:paraId="46BCE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898" w:type="dxa"/>
            <w:tcBorders>
              <w:top w:val="single" w:color="auto" w:sz="6" w:space="0"/>
              <w:left w:val="single" w:color="auto" w:sz="6" w:space="0"/>
              <w:bottom w:val="single" w:color="auto" w:sz="6" w:space="0"/>
              <w:right w:val="single" w:color="auto" w:sz="6" w:space="0"/>
            </w:tcBorders>
            <w:vAlign w:val="center"/>
          </w:tcPr>
          <w:p w14:paraId="5A64F7C5">
            <w:pPr>
              <w:pStyle w:val="9"/>
              <w:overflowPunct w:val="0"/>
              <w:ind w:firstLine="0"/>
              <w:jc w:val="center"/>
              <w:rPr>
                <w:rFonts w:eastAsia="宋体"/>
                <w:bCs/>
                <w:szCs w:val="24"/>
              </w:rPr>
            </w:pPr>
            <w:r>
              <w:rPr>
                <w:rFonts w:eastAsia="宋体"/>
                <w:bCs/>
                <w:szCs w:val="24"/>
              </w:rPr>
              <w:t>2</w:t>
            </w:r>
          </w:p>
        </w:tc>
        <w:tc>
          <w:tcPr>
            <w:tcW w:w="1453" w:type="dxa"/>
            <w:tcBorders>
              <w:top w:val="single" w:color="auto" w:sz="6" w:space="0"/>
              <w:left w:val="single" w:color="auto" w:sz="6" w:space="0"/>
              <w:bottom w:val="single" w:color="auto" w:sz="6" w:space="0"/>
              <w:right w:val="single" w:color="auto" w:sz="6" w:space="0"/>
            </w:tcBorders>
            <w:vAlign w:val="center"/>
          </w:tcPr>
          <w:p w14:paraId="1A5927F0">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48A97ED2">
            <w:pPr>
              <w:pStyle w:val="9"/>
              <w:overflowPunct w:val="0"/>
              <w:ind w:firstLine="0"/>
              <w:jc w:val="center"/>
              <w:rPr>
                <w:rFonts w:eastAsia="宋体"/>
                <w:bCs/>
                <w:szCs w:val="24"/>
              </w:rPr>
            </w:pPr>
          </w:p>
        </w:tc>
        <w:tc>
          <w:tcPr>
            <w:tcW w:w="1729" w:type="dxa"/>
            <w:tcBorders>
              <w:top w:val="single" w:color="auto" w:sz="6" w:space="0"/>
              <w:left w:val="single" w:color="auto" w:sz="6" w:space="0"/>
              <w:bottom w:val="single" w:color="auto" w:sz="6" w:space="0"/>
              <w:right w:val="single" w:color="auto" w:sz="4" w:space="0"/>
            </w:tcBorders>
            <w:vAlign w:val="center"/>
          </w:tcPr>
          <w:p w14:paraId="447CE83A">
            <w:pPr>
              <w:pStyle w:val="9"/>
              <w:overflowPunct w:val="0"/>
              <w:ind w:firstLine="0"/>
              <w:jc w:val="center"/>
              <w:rPr>
                <w:rFonts w:eastAsia="宋体"/>
                <w:bCs/>
                <w:szCs w:val="24"/>
              </w:rPr>
            </w:pPr>
          </w:p>
        </w:tc>
        <w:tc>
          <w:tcPr>
            <w:tcW w:w="1874" w:type="dxa"/>
            <w:tcBorders>
              <w:top w:val="single" w:color="auto" w:sz="6" w:space="0"/>
              <w:left w:val="single" w:color="auto" w:sz="4" w:space="0"/>
              <w:bottom w:val="single" w:color="auto" w:sz="6" w:space="0"/>
              <w:right w:val="single" w:color="auto" w:sz="4" w:space="0"/>
            </w:tcBorders>
            <w:vAlign w:val="center"/>
          </w:tcPr>
          <w:p w14:paraId="6397CDBE">
            <w:pPr>
              <w:pStyle w:val="9"/>
              <w:overflowPunct w:val="0"/>
              <w:ind w:firstLine="0"/>
              <w:jc w:val="center"/>
              <w:rPr>
                <w:rFonts w:eastAsia="宋体"/>
                <w:bCs/>
                <w:szCs w:val="24"/>
              </w:rPr>
            </w:pPr>
          </w:p>
        </w:tc>
        <w:tc>
          <w:tcPr>
            <w:tcW w:w="1977" w:type="dxa"/>
            <w:tcBorders>
              <w:top w:val="single" w:color="auto" w:sz="6" w:space="0"/>
              <w:left w:val="single" w:color="auto" w:sz="6" w:space="0"/>
              <w:bottom w:val="single" w:color="auto" w:sz="6" w:space="0"/>
              <w:right w:val="single" w:color="auto" w:sz="6" w:space="0"/>
            </w:tcBorders>
            <w:vAlign w:val="center"/>
          </w:tcPr>
          <w:p w14:paraId="2C99C69B">
            <w:pPr>
              <w:pStyle w:val="9"/>
              <w:overflowPunct w:val="0"/>
              <w:ind w:firstLine="0"/>
              <w:jc w:val="center"/>
              <w:rPr>
                <w:rFonts w:eastAsia="宋体"/>
                <w:bCs/>
                <w:szCs w:val="24"/>
              </w:rPr>
            </w:pPr>
          </w:p>
        </w:tc>
      </w:tr>
      <w:tr w14:paraId="7CA86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898" w:type="dxa"/>
            <w:tcBorders>
              <w:top w:val="single" w:color="auto" w:sz="6" w:space="0"/>
              <w:left w:val="single" w:color="auto" w:sz="6" w:space="0"/>
              <w:bottom w:val="single" w:color="auto" w:sz="6" w:space="0"/>
              <w:right w:val="single" w:color="auto" w:sz="6" w:space="0"/>
            </w:tcBorders>
            <w:vAlign w:val="center"/>
          </w:tcPr>
          <w:p w14:paraId="2B999D0E">
            <w:pPr>
              <w:pStyle w:val="9"/>
              <w:overflowPunct w:val="0"/>
              <w:ind w:firstLine="0"/>
              <w:jc w:val="center"/>
              <w:rPr>
                <w:rFonts w:eastAsia="宋体"/>
                <w:bCs/>
                <w:szCs w:val="24"/>
              </w:rPr>
            </w:pPr>
            <w:r>
              <w:rPr>
                <w:rFonts w:eastAsia="宋体"/>
                <w:bCs/>
                <w:szCs w:val="24"/>
              </w:rPr>
              <w:t>3</w:t>
            </w:r>
          </w:p>
        </w:tc>
        <w:tc>
          <w:tcPr>
            <w:tcW w:w="1453" w:type="dxa"/>
            <w:tcBorders>
              <w:top w:val="single" w:color="auto" w:sz="6" w:space="0"/>
              <w:left w:val="single" w:color="auto" w:sz="6" w:space="0"/>
              <w:bottom w:val="single" w:color="auto" w:sz="6" w:space="0"/>
              <w:right w:val="single" w:color="auto" w:sz="6" w:space="0"/>
            </w:tcBorders>
            <w:vAlign w:val="center"/>
          </w:tcPr>
          <w:p w14:paraId="6C8F455C">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47B55709">
            <w:pPr>
              <w:pStyle w:val="9"/>
              <w:overflowPunct w:val="0"/>
              <w:ind w:firstLine="0"/>
              <w:jc w:val="center"/>
              <w:rPr>
                <w:rFonts w:eastAsia="宋体"/>
                <w:bCs/>
                <w:szCs w:val="24"/>
              </w:rPr>
            </w:pPr>
          </w:p>
        </w:tc>
        <w:tc>
          <w:tcPr>
            <w:tcW w:w="1729" w:type="dxa"/>
            <w:tcBorders>
              <w:top w:val="single" w:color="auto" w:sz="6" w:space="0"/>
              <w:left w:val="single" w:color="auto" w:sz="6" w:space="0"/>
              <w:bottom w:val="single" w:color="auto" w:sz="6" w:space="0"/>
              <w:right w:val="single" w:color="auto" w:sz="4" w:space="0"/>
            </w:tcBorders>
            <w:vAlign w:val="center"/>
          </w:tcPr>
          <w:p w14:paraId="27A4C995">
            <w:pPr>
              <w:pStyle w:val="9"/>
              <w:overflowPunct w:val="0"/>
              <w:ind w:firstLine="0"/>
              <w:jc w:val="center"/>
              <w:rPr>
                <w:rFonts w:eastAsia="宋体"/>
                <w:bCs/>
                <w:szCs w:val="24"/>
              </w:rPr>
            </w:pPr>
          </w:p>
        </w:tc>
        <w:tc>
          <w:tcPr>
            <w:tcW w:w="1874" w:type="dxa"/>
            <w:tcBorders>
              <w:top w:val="single" w:color="auto" w:sz="6" w:space="0"/>
              <w:left w:val="single" w:color="auto" w:sz="4" w:space="0"/>
              <w:bottom w:val="single" w:color="auto" w:sz="6" w:space="0"/>
              <w:right w:val="single" w:color="auto" w:sz="4" w:space="0"/>
            </w:tcBorders>
            <w:vAlign w:val="center"/>
          </w:tcPr>
          <w:p w14:paraId="0512B0E5">
            <w:pPr>
              <w:pStyle w:val="9"/>
              <w:overflowPunct w:val="0"/>
              <w:ind w:firstLine="0"/>
              <w:jc w:val="center"/>
              <w:rPr>
                <w:rFonts w:eastAsia="宋体"/>
                <w:bCs/>
                <w:szCs w:val="24"/>
              </w:rPr>
            </w:pPr>
          </w:p>
        </w:tc>
        <w:tc>
          <w:tcPr>
            <w:tcW w:w="1977" w:type="dxa"/>
            <w:tcBorders>
              <w:top w:val="single" w:color="auto" w:sz="6" w:space="0"/>
              <w:left w:val="single" w:color="auto" w:sz="6" w:space="0"/>
              <w:bottom w:val="single" w:color="auto" w:sz="6" w:space="0"/>
              <w:right w:val="single" w:color="auto" w:sz="6" w:space="0"/>
            </w:tcBorders>
            <w:vAlign w:val="center"/>
          </w:tcPr>
          <w:p w14:paraId="085F25D8">
            <w:pPr>
              <w:pStyle w:val="9"/>
              <w:overflowPunct w:val="0"/>
              <w:ind w:firstLine="0"/>
              <w:jc w:val="center"/>
              <w:rPr>
                <w:rFonts w:eastAsia="宋体"/>
                <w:bCs/>
                <w:szCs w:val="24"/>
              </w:rPr>
            </w:pPr>
          </w:p>
        </w:tc>
      </w:tr>
      <w:tr w14:paraId="29B48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898" w:type="dxa"/>
            <w:tcBorders>
              <w:top w:val="single" w:color="auto" w:sz="6" w:space="0"/>
              <w:left w:val="single" w:color="auto" w:sz="6" w:space="0"/>
              <w:bottom w:val="single" w:color="auto" w:sz="6" w:space="0"/>
              <w:right w:val="single" w:color="auto" w:sz="6" w:space="0"/>
            </w:tcBorders>
            <w:vAlign w:val="center"/>
          </w:tcPr>
          <w:p w14:paraId="6A8754D4">
            <w:pPr>
              <w:pStyle w:val="9"/>
              <w:overflowPunct w:val="0"/>
              <w:ind w:firstLine="0"/>
              <w:jc w:val="center"/>
              <w:rPr>
                <w:rFonts w:eastAsia="宋体"/>
                <w:bCs/>
                <w:szCs w:val="24"/>
              </w:rPr>
            </w:pPr>
            <w:r>
              <w:rPr>
                <w:rFonts w:eastAsia="宋体"/>
                <w:bCs/>
                <w:szCs w:val="24"/>
              </w:rPr>
              <w:t>4</w:t>
            </w:r>
          </w:p>
        </w:tc>
        <w:tc>
          <w:tcPr>
            <w:tcW w:w="1453" w:type="dxa"/>
            <w:tcBorders>
              <w:top w:val="single" w:color="auto" w:sz="6" w:space="0"/>
              <w:left w:val="single" w:color="auto" w:sz="6" w:space="0"/>
              <w:bottom w:val="single" w:color="auto" w:sz="6" w:space="0"/>
              <w:right w:val="single" w:color="auto" w:sz="6" w:space="0"/>
            </w:tcBorders>
            <w:vAlign w:val="center"/>
          </w:tcPr>
          <w:p w14:paraId="6E09E2FD">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1C168BE7">
            <w:pPr>
              <w:pStyle w:val="9"/>
              <w:overflowPunct w:val="0"/>
              <w:ind w:firstLine="0"/>
              <w:jc w:val="center"/>
              <w:rPr>
                <w:rFonts w:eastAsia="宋体"/>
                <w:bCs/>
                <w:szCs w:val="24"/>
              </w:rPr>
            </w:pPr>
          </w:p>
        </w:tc>
        <w:tc>
          <w:tcPr>
            <w:tcW w:w="1729" w:type="dxa"/>
            <w:tcBorders>
              <w:top w:val="single" w:color="auto" w:sz="6" w:space="0"/>
              <w:left w:val="single" w:color="auto" w:sz="6" w:space="0"/>
              <w:bottom w:val="single" w:color="auto" w:sz="6" w:space="0"/>
              <w:right w:val="single" w:color="auto" w:sz="4" w:space="0"/>
            </w:tcBorders>
            <w:vAlign w:val="center"/>
          </w:tcPr>
          <w:p w14:paraId="597A54EC">
            <w:pPr>
              <w:pStyle w:val="9"/>
              <w:overflowPunct w:val="0"/>
              <w:ind w:firstLine="0"/>
              <w:jc w:val="center"/>
              <w:rPr>
                <w:rFonts w:eastAsia="宋体"/>
                <w:bCs/>
                <w:szCs w:val="24"/>
              </w:rPr>
            </w:pPr>
          </w:p>
        </w:tc>
        <w:tc>
          <w:tcPr>
            <w:tcW w:w="1874" w:type="dxa"/>
            <w:tcBorders>
              <w:top w:val="single" w:color="auto" w:sz="6" w:space="0"/>
              <w:left w:val="single" w:color="auto" w:sz="4" w:space="0"/>
              <w:bottom w:val="single" w:color="auto" w:sz="6" w:space="0"/>
              <w:right w:val="single" w:color="auto" w:sz="4" w:space="0"/>
            </w:tcBorders>
            <w:vAlign w:val="center"/>
          </w:tcPr>
          <w:p w14:paraId="673869E1">
            <w:pPr>
              <w:pStyle w:val="9"/>
              <w:overflowPunct w:val="0"/>
              <w:ind w:firstLine="0"/>
              <w:jc w:val="center"/>
              <w:rPr>
                <w:rFonts w:eastAsia="宋体"/>
                <w:bCs/>
                <w:szCs w:val="24"/>
              </w:rPr>
            </w:pPr>
          </w:p>
        </w:tc>
        <w:tc>
          <w:tcPr>
            <w:tcW w:w="1977" w:type="dxa"/>
            <w:tcBorders>
              <w:top w:val="single" w:color="auto" w:sz="6" w:space="0"/>
              <w:left w:val="single" w:color="auto" w:sz="6" w:space="0"/>
              <w:bottom w:val="single" w:color="auto" w:sz="6" w:space="0"/>
              <w:right w:val="single" w:color="auto" w:sz="6" w:space="0"/>
            </w:tcBorders>
            <w:vAlign w:val="center"/>
          </w:tcPr>
          <w:p w14:paraId="4E0358D2">
            <w:pPr>
              <w:pStyle w:val="9"/>
              <w:overflowPunct w:val="0"/>
              <w:ind w:firstLine="0"/>
              <w:jc w:val="center"/>
              <w:rPr>
                <w:rFonts w:eastAsia="宋体"/>
                <w:bCs/>
                <w:szCs w:val="24"/>
              </w:rPr>
            </w:pPr>
          </w:p>
        </w:tc>
      </w:tr>
      <w:tr w14:paraId="4982A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898" w:type="dxa"/>
            <w:tcBorders>
              <w:top w:val="single" w:color="auto" w:sz="6" w:space="0"/>
              <w:left w:val="single" w:color="auto" w:sz="6" w:space="0"/>
              <w:bottom w:val="single" w:color="auto" w:sz="6" w:space="0"/>
              <w:right w:val="single" w:color="auto" w:sz="6" w:space="0"/>
            </w:tcBorders>
            <w:vAlign w:val="center"/>
          </w:tcPr>
          <w:p w14:paraId="72484BAE">
            <w:pPr>
              <w:pStyle w:val="9"/>
              <w:overflowPunct w:val="0"/>
              <w:ind w:firstLine="0"/>
              <w:jc w:val="center"/>
              <w:rPr>
                <w:rFonts w:eastAsia="宋体"/>
                <w:bCs/>
                <w:szCs w:val="24"/>
              </w:rPr>
            </w:pPr>
            <w:r>
              <w:rPr>
                <w:rFonts w:eastAsia="宋体"/>
                <w:bCs/>
                <w:szCs w:val="24"/>
              </w:rPr>
              <w:t>5</w:t>
            </w:r>
          </w:p>
        </w:tc>
        <w:tc>
          <w:tcPr>
            <w:tcW w:w="1453" w:type="dxa"/>
            <w:tcBorders>
              <w:top w:val="single" w:color="auto" w:sz="6" w:space="0"/>
              <w:left w:val="single" w:color="auto" w:sz="6" w:space="0"/>
              <w:bottom w:val="single" w:color="auto" w:sz="6" w:space="0"/>
              <w:right w:val="single" w:color="auto" w:sz="6" w:space="0"/>
            </w:tcBorders>
            <w:vAlign w:val="center"/>
          </w:tcPr>
          <w:p w14:paraId="19B3C5F5">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38F5503F">
            <w:pPr>
              <w:pStyle w:val="9"/>
              <w:overflowPunct w:val="0"/>
              <w:ind w:firstLine="0"/>
              <w:jc w:val="center"/>
              <w:rPr>
                <w:rFonts w:eastAsia="宋体"/>
                <w:bCs/>
                <w:szCs w:val="24"/>
              </w:rPr>
            </w:pPr>
          </w:p>
        </w:tc>
        <w:tc>
          <w:tcPr>
            <w:tcW w:w="1729" w:type="dxa"/>
            <w:tcBorders>
              <w:top w:val="single" w:color="auto" w:sz="6" w:space="0"/>
              <w:left w:val="single" w:color="auto" w:sz="6" w:space="0"/>
              <w:bottom w:val="single" w:color="auto" w:sz="6" w:space="0"/>
              <w:right w:val="single" w:color="auto" w:sz="4" w:space="0"/>
            </w:tcBorders>
            <w:vAlign w:val="center"/>
          </w:tcPr>
          <w:p w14:paraId="6CFA0D83">
            <w:pPr>
              <w:pStyle w:val="9"/>
              <w:overflowPunct w:val="0"/>
              <w:ind w:firstLine="0"/>
              <w:jc w:val="center"/>
              <w:rPr>
                <w:rFonts w:eastAsia="宋体"/>
                <w:bCs/>
                <w:szCs w:val="24"/>
              </w:rPr>
            </w:pPr>
          </w:p>
        </w:tc>
        <w:tc>
          <w:tcPr>
            <w:tcW w:w="1874" w:type="dxa"/>
            <w:tcBorders>
              <w:top w:val="single" w:color="auto" w:sz="6" w:space="0"/>
              <w:left w:val="single" w:color="auto" w:sz="4" w:space="0"/>
              <w:bottom w:val="single" w:color="auto" w:sz="6" w:space="0"/>
              <w:right w:val="single" w:color="auto" w:sz="4" w:space="0"/>
            </w:tcBorders>
            <w:vAlign w:val="center"/>
          </w:tcPr>
          <w:p w14:paraId="7033018E">
            <w:pPr>
              <w:pStyle w:val="9"/>
              <w:overflowPunct w:val="0"/>
              <w:ind w:firstLine="0"/>
              <w:jc w:val="center"/>
              <w:rPr>
                <w:rFonts w:eastAsia="宋体"/>
                <w:bCs/>
                <w:szCs w:val="24"/>
              </w:rPr>
            </w:pPr>
          </w:p>
        </w:tc>
        <w:tc>
          <w:tcPr>
            <w:tcW w:w="1977" w:type="dxa"/>
            <w:tcBorders>
              <w:top w:val="single" w:color="auto" w:sz="6" w:space="0"/>
              <w:left w:val="single" w:color="auto" w:sz="6" w:space="0"/>
              <w:bottom w:val="single" w:color="auto" w:sz="6" w:space="0"/>
              <w:right w:val="single" w:color="auto" w:sz="6" w:space="0"/>
            </w:tcBorders>
            <w:vAlign w:val="center"/>
          </w:tcPr>
          <w:p w14:paraId="66A0CE2E">
            <w:pPr>
              <w:pStyle w:val="9"/>
              <w:overflowPunct w:val="0"/>
              <w:ind w:firstLine="0"/>
              <w:jc w:val="center"/>
              <w:rPr>
                <w:rFonts w:eastAsia="宋体"/>
                <w:bCs/>
                <w:szCs w:val="24"/>
              </w:rPr>
            </w:pPr>
          </w:p>
        </w:tc>
      </w:tr>
      <w:tr w14:paraId="78669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898" w:type="dxa"/>
            <w:tcBorders>
              <w:top w:val="single" w:color="auto" w:sz="6" w:space="0"/>
              <w:left w:val="single" w:color="auto" w:sz="6" w:space="0"/>
              <w:bottom w:val="single" w:color="auto" w:sz="6" w:space="0"/>
              <w:right w:val="single" w:color="auto" w:sz="6" w:space="0"/>
            </w:tcBorders>
            <w:textDirection w:val="tbRlV"/>
            <w:vAlign w:val="center"/>
          </w:tcPr>
          <w:p w14:paraId="236C177D">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17DF92E7">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63A1C906">
            <w:pPr>
              <w:pStyle w:val="9"/>
              <w:overflowPunct w:val="0"/>
              <w:ind w:firstLine="0"/>
              <w:jc w:val="center"/>
              <w:rPr>
                <w:rFonts w:eastAsia="宋体"/>
                <w:bCs/>
                <w:szCs w:val="24"/>
              </w:rPr>
            </w:pPr>
          </w:p>
        </w:tc>
        <w:tc>
          <w:tcPr>
            <w:tcW w:w="1729" w:type="dxa"/>
            <w:tcBorders>
              <w:top w:val="single" w:color="auto" w:sz="6" w:space="0"/>
              <w:left w:val="single" w:color="auto" w:sz="6" w:space="0"/>
              <w:bottom w:val="single" w:color="auto" w:sz="6" w:space="0"/>
              <w:right w:val="single" w:color="auto" w:sz="4" w:space="0"/>
            </w:tcBorders>
            <w:vAlign w:val="center"/>
          </w:tcPr>
          <w:p w14:paraId="031F2419">
            <w:pPr>
              <w:pStyle w:val="9"/>
              <w:overflowPunct w:val="0"/>
              <w:ind w:firstLine="0"/>
              <w:jc w:val="center"/>
              <w:rPr>
                <w:rFonts w:eastAsia="宋体"/>
                <w:bCs/>
                <w:szCs w:val="24"/>
              </w:rPr>
            </w:pPr>
          </w:p>
        </w:tc>
        <w:tc>
          <w:tcPr>
            <w:tcW w:w="1874" w:type="dxa"/>
            <w:tcBorders>
              <w:top w:val="single" w:color="auto" w:sz="6" w:space="0"/>
              <w:left w:val="single" w:color="auto" w:sz="4" w:space="0"/>
              <w:bottom w:val="single" w:color="auto" w:sz="6" w:space="0"/>
              <w:right w:val="single" w:color="auto" w:sz="4" w:space="0"/>
            </w:tcBorders>
            <w:vAlign w:val="center"/>
          </w:tcPr>
          <w:p w14:paraId="48890F22">
            <w:pPr>
              <w:pStyle w:val="9"/>
              <w:overflowPunct w:val="0"/>
              <w:ind w:firstLine="0"/>
              <w:jc w:val="center"/>
              <w:rPr>
                <w:rFonts w:eastAsia="宋体"/>
                <w:bCs/>
                <w:szCs w:val="24"/>
              </w:rPr>
            </w:pPr>
          </w:p>
        </w:tc>
        <w:tc>
          <w:tcPr>
            <w:tcW w:w="1977" w:type="dxa"/>
            <w:tcBorders>
              <w:top w:val="single" w:color="auto" w:sz="6" w:space="0"/>
              <w:left w:val="single" w:color="auto" w:sz="6" w:space="0"/>
              <w:bottom w:val="single" w:color="auto" w:sz="6" w:space="0"/>
              <w:right w:val="single" w:color="auto" w:sz="6" w:space="0"/>
            </w:tcBorders>
            <w:vAlign w:val="center"/>
          </w:tcPr>
          <w:p w14:paraId="694BDE78">
            <w:pPr>
              <w:pStyle w:val="9"/>
              <w:overflowPunct w:val="0"/>
              <w:ind w:firstLine="0"/>
              <w:jc w:val="center"/>
              <w:rPr>
                <w:rFonts w:eastAsia="宋体"/>
                <w:bCs/>
                <w:szCs w:val="24"/>
              </w:rPr>
            </w:pPr>
          </w:p>
        </w:tc>
      </w:tr>
      <w:tr w14:paraId="26363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898" w:type="dxa"/>
            <w:tcBorders>
              <w:top w:val="single" w:color="auto" w:sz="6" w:space="0"/>
              <w:left w:val="single" w:color="auto" w:sz="6" w:space="0"/>
              <w:bottom w:val="single" w:color="auto" w:sz="6" w:space="0"/>
              <w:right w:val="single" w:color="auto" w:sz="6" w:space="0"/>
            </w:tcBorders>
            <w:vAlign w:val="center"/>
          </w:tcPr>
          <w:p w14:paraId="5A553176">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2C8DDF31">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44BE168A">
            <w:pPr>
              <w:pStyle w:val="9"/>
              <w:overflowPunct w:val="0"/>
              <w:ind w:firstLine="0"/>
              <w:jc w:val="center"/>
              <w:rPr>
                <w:rFonts w:eastAsia="宋体"/>
                <w:bCs/>
                <w:szCs w:val="24"/>
              </w:rPr>
            </w:pPr>
          </w:p>
        </w:tc>
        <w:tc>
          <w:tcPr>
            <w:tcW w:w="1729" w:type="dxa"/>
            <w:tcBorders>
              <w:top w:val="single" w:color="auto" w:sz="6" w:space="0"/>
              <w:left w:val="single" w:color="auto" w:sz="6" w:space="0"/>
              <w:bottom w:val="single" w:color="auto" w:sz="6" w:space="0"/>
              <w:right w:val="single" w:color="auto" w:sz="4" w:space="0"/>
            </w:tcBorders>
            <w:vAlign w:val="center"/>
          </w:tcPr>
          <w:p w14:paraId="7F6D29FF">
            <w:pPr>
              <w:pStyle w:val="9"/>
              <w:overflowPunct w:val="0"/>
              <w:ind w:firstLine="0"/>
              <w:jc w:val="center"/>
              <w:rPr>
                <w:rFonts w:eastAsia="宋体"/>
                <w:bCs/>
                <w:szCs w:val="24"/>
              </w:rPr>
            </w:pPr>
          </w:p>
        </w:tc>
        <w:tc>
          <w:tcPr>
            <w:tcW w:w="1874" w:type="dxa"/>
            <w:tcBorders>
              <w:top w:val="single" w:color="auto" w:sz="6" w:space="0"/>
              <w:left w:val="single" w:color="auto" w:sz="4" w:space="0"/>
              <w:bottom w:val="single" w:color="auto" w:sz="6" w:space="0"/>
              <w:right w:val="single" w:color="auto" w:sz="4" w:space="0"/>
            </w:tcBorders>
            <w:vAlign w:val="center"/>
          </w:tcPr>
          <w:p w14:paraId="525702FE">
            <w:pPr>
              <w:pStyle w:val="9"/>
              <w:overflowPunct w:val="0"/>
              <w:ind w:firstLine="0"/>
              <w:jc w:val="center"/>
              <w:rPr>
                <w:rFonts w:eastAsia="宋体"/>
                <w:bCs/>
                <w:szCs w:val="24"/>
              </w:rPr>
            </w:pPr>
          </w:p>
        </w:tc>
        <w:tc>
          <w:tcPr>
            <w:tcW w:w="1977" w:type="dxa"/>
            <w:tcBorders>
              <w:top w:val="single" w:color="auto" w:sz="6" w:space="0"/>
              <w:left w:val="single" w:color="auto" w:sz="6" w:space="0"/>
              <w:bottom w:val="single" w:color="auto" w:sz="6" w:space="0"/>
              <w:right w:val="single" w:color="auto" w:sz="6" w:space="0"/>
            </w:tcBorders>
            <w:vAlign w:val="center"/>
          </w:tcPr>
          <w:p w14:paraId="0C1C9FAC">
            <w:pPr>
              <w:pStyle w:val="9"/>
              <w:overflowPunct w:val="0"/>
              <w:ind w:firstLine="0"/>
              <w:jc w:val="center"/>
              <w:rPr>
                <w:rFonts w:eastAsia="宋体"/>
                <w:bCs/>
                <w:szCs w:val="24"/>
              </w:rPr>
            </w:pPr>
          </w:p>
        </w:tc>
      </w:tr>
      <w:tr w14:paraId="3F7E7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trPr>
        <w:tc>
          <w:tcPr>
            <w:tcW w:w="898" w:type="dxa"/>
            <w:tcBorders>
              <w:top w:val="single" w:color="auto" w:sz="6" w:space="0"/>
              <w:left w:val="single" w:color="auto" w:sz="6" w:space="0"/>
              <w:bottom w:val="single" w:color="auto" w:sz="6" w:space="0"/>
              <w:right w:val="single" w:color="auto" w:sz="6" w:space="0"/>
            </w:tcBorders>
            <w:vAlign w:val="center"/>
          </w:tcPr>
          <w:p w14:paraId="36945C19">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483BA223">
            <w:pPr>
              <w:pStyle w:val="9"/>
              <w:overflowPunct w:val="0"/>
              <w:ind w:firstLine="0"/>
              <w:jc w:val="center"/>
              <w:rPr>
                <w:rFonts w:eastAsia="宋体"/>
                <w:bCs/>
                <w:szCs w:val="24"/>
              </w:rPr>
            </w:pPr>
          </w:p>
        </w:tc>
        <w:tc>
          <w:tcPr>
            <w:tcW w:w="1453" w:type="dxa"/>
            <w:tcBorders>
              <w:top w:val="single" w:color="auto" w:sz="6" w:space="0"/>
              <w:left w:val="single" w:color="auto" w:sz="6" w:space="0"/>
              <w:bottom w:val="single" w:color="auto" w:sz="6" w:space="0"/>
              <w:right w:val="single" w:color="auto" w:sz="6" w:space="0"/>
            </w:tcBorders>
            <w:vAlign w:val="center"/>
          </w:tcPr>
          <w:p w14:paraId="05B7FA95">
            <w:pPr>
              <w:pStyle w:val="9"/>
              <w:overflowPunct w:val="0"/>
              <w:ind w:firstLine="0"/>
              <w:jc w:val="center"/>
              <w:rPr>
                <w:rFonts w:eastAsia="宋体"/>
                <w:bCs/>
                <w:szCs w:val="24"/>
              </w:rPr>
            </w:pPr>
          </w:p>
        </w:tc>
        <w:tc>
          <w:tcPr>
            <w:tcW w:w="1729" w:type="dxa"/>
            <w:tcBorders>
              <w:top w:val="single" w:color="auto" w:sz="6" w:space="0"/>
              <w:left w:val="single" w:color="auto" w:sz="6" w:space="0"/>
              <w:bottom w:val="single" w:color="auto" w:sz="6" w:space="0"/>
              <w:right w:val="single" w:color="auto" w:sz="4" w:space="0"/>
            </w:tcBorders>
            <w:vAlign w:val="center"/>
          </w:tcPr>
          <w:p w14:paraId="0E8140BF">
            <w:pPr>
              <w:pStyle w:val="9"/>
              <w:overflowPunct w:val="0"/>
              <w:ind w:firstLine="0"/>
              <w:jc w:val="center"/>
              <w:rPr>
                <w:rFonts w:eastAsia="宋体"/>
                <w:bCs/>
                <w:szCs w:val="24"/>
              </w:rPr>
            </w:pPr>
          </w:p>
        </w:tc>
        <w:tc>
          <w:tcPr>
            <w:tcW w:w="1874" w:type="dxa"/>
            <w:tcBorders>
              <w:top w:val="single" w:color="auto" w:sz="6" w:space="0"/>
              <w:left w:val="single" w:color="auto" w:sz="4" w:space="0"/>
              <w:bottom w:val="single" w:color="auto" w:sz="6" w:space="0"/>
              <w:right w:val="single" w:color="auto" w:sz="4" w:space="0"/>
            </w:tcBorders>
            <w:vAlign w:val="center"/>
          </w:tcPr>
          <w:p w14:paraId="74FE7EB7">
            <w:pPr>
              <w:pStyle w:val="9"/>
              <w:overflowPunct w:val="0"/>
              <w:ind w:firstLine="0"/>
              <w:jc w:val="center"/>
              <w:rPr>
                <w:rFonts w:eastAsia="宋体"/>
                <w:bCs/>
                <w:szCs w:val="24"/>
              </w:rPr>
            </w:pPr>
          </w:p>
        </w:tc>
        <w:tc>
          <w:tcPr>
            <w:tcW w:w="1977" w:type="dxa"/>
            <w:tcBorders>
              <w:top w:val="single" w:color="auto" w:sz="6" w:space="0"/>
              <w:left w:val="single" w:color="auto" w:sz="6" w:space="0"/>
              <w:bottom w:val="single" w:color="auto" w:sz="6" w:space="0"/>
              <w:right w:val="single" w:color="auto" w:sz="6" w:space="0"/>
            </w:tcBorders>
            <w:vAlign w:val="center"/>
          </w:tcPr>
          <w:p w14:paraId="03DC7E6C">
            <w:pPr>
              <w:pStyle w:val="9"/>
              <w:overflowPunct w:val="0"/>
              <w:ind w:firstLine="0"/>
              <w:jc w:val="center"/>
              <w:rPr>
                <w:rFonts w:eastAsia="宋体"/>
                <w:bCs/>
                <w:szCs w:val="24"/>
              </w:rPr>
            </w:pPr>
          </w:p>
        </w:tc>
      </w:tr>
    </w:tbl>
    <w:p w14:paraId="37D5FC16">
      <w:pPr>
        <w:pStyle w:val="9"/>
        <w:overflowPunct w:val="0"/>
        <w:spacing w:line="360" w:lineRule="auto"/>
        <w:ind w:firstLine="0"/>
        <w:jc w:val="both"/>
        <w:rPr>
          <w:rFonts w:ascii="宋体" w:hAnsi="宋体" w:eastAsia="宋体"/>
          <w:bCs/>
          <w:szCs w:val="24"/>
        </w:rPr>
      </w:pPr>
    </w:p>
    <w:p w14:paraId="28381397">
      <w:pPr>
        <w:pStyle w:val="9"/>
        <w:overflowPunct w:val="0"/>
        <w:spacing w:line="360" w:lineRule="auto"/>
        <w:ind w:firstLine="0"/>
        <w:jc w:val="both"/>
        <w:rPr>
          <w:rFonts w:ascii="宋体" w:hAnsi="宋体" w:eastAsia="宋体"/>
          <w:bCs/>
          <w:szCs w:val="24"/>
        </w:rPr>
      </w:pPr>
      <w:r>
        <w:rPr>
          <w:rFonts w:hint="eastAsia" w:ascii="宋体" w:hAnsi="宋体" w:eastAsia="宋体"/>
          <w:bCs/>
          <w:szCs w:val="24"/>
        </w:rPr>
        <w:t>注：投标人应提供双方签订合同的复印件并加盖投标人公章（公章），否则将不作为评标的依据。</w:t>
      </w:r>
    </w:p>
    <w:p w14:paraId="084DC22C">
      <w:pPr>
        <w:pStyle w:val="9"/>
        <w:overflowPunct w:val="0"/>
        <w:spacing w:line="360" w:lineRule="auto"/>
        <w:ind w:firstLine="0"/>
        <w:rPr>
          <w:rFonts w:ascii="宋体" w:hAnsi="宋体" w:eastAsia="宋体"/>
          <w:bCs/>
          <w:szCs w:val="24"/>
        </w:rPr>
      </w:pPr>
    </w:p>
    <w:p w14:paraId="658432F3">
      <w:pPr>
        <w:widowControl w:val="0"/>
        <w:autoSpaceDE w:val="0"/>
        <w:autoSpaceDN w:val="0"/>
        <w:adjustRightInd w:val="0"/>
        <w:spacing w:line="360" w:lineRule="auto"/>
        <w:ind w:firstLine="210"/>
        <w:rPr>
          <w:kern w:val="2"/>
          <w:szCs w:val="24"/>
        </w:rPr>
      </w:pPr>
      <w:r>
        <w:rPr>
          <w:kern w:val="2"/>
          <w:szCs w:val="24"/>
          <w:lang w:val="zh-CN"/>
        </w:rPr>
        <w:t>投标人（公章）：</w:t>
      </w:r>
    </w:p>
    <w:p w14:paraId="66A71F23">
      <w:pPr>
        <w:widowControl w:val="0"/>
        <w:autoSpaceDE w:val="0"/>
        <w:autoSpaceDN w:val="0"/>
        <w:adjustRightInd w:val="0"/>
        <w:spacing w:line="360" w:lineRule="auto"/>
        <w:ind w:firstLine="210"/>
        <w:rPr>
          <w:kern w:val="2"/>
          <w:szCs w:val="24"/>
        </w:rPr>
      </w:pPr>
      <w:r>
        <w:rPr>
          <w:kern w:val="2"/>
          <w:szCs w:val="24"/>
          <w:lang w:val="zh-CN"/>
        </w:rPr>
        <w:t>法定代表人或授权委托人：（签字或</w:t>
      </w:r>
      <w:r>
        <w:rPr>
          <w:rFonts w:hint="eastAsia"/>
          <w:kern w:val="2"/>
          <w:szCs w:val="24"/>
          <w:lang w:val="zh-CN"/>
        </w:rPr>
        <w:t>签章</w:t>
      </w:r>
      <w:r>
        <w:rPr>
          <w:kern w:val="2"/>
          <w:szCs w:val="24"/>
          <w:lang w:val="zh-CN"/>
        </w:rPr>
        <w:t>）</w:t>
      </w:r>
    </w:p>
    <w:p w14:paraId="146607AB">
      <w:pPr>
        <w:widowControl w:val="0"/>
        <w:autoSpaceDE w:val="0"/>
        <w:autoSpaceDN w:val="0"/>
        <w:adjustRightInd w:val="0"/>
        <w:spacing w:line="360" w:lineRule="auto"/>
        <w:ind w:firstLine="210"/>
        <w:jc w:val="both"/>
        <w:rPr>
          <w:kern w:val="2"/>
          <w:szCs w:val="24"/>
        </w:rPr>
      </w:pPr>
      <w:r>
        <w:rPr>
          <w:kern w:val="2"/>
          <w:szCs w:val="24"/>
          <w:lang w:val="zh-CN"/>
        </w:rPr>
        <w:t>日期：</w:t>
      </w:r>
      <w:r>
        <w:rPr>
          <w:kern w:val="2"/>
          <w:szCs w:val="24"/>
        </w:rPr>
        <w:t xml:space="preserve">   </w:t>
      </w:r>
      <w:r>
        <w:rPr>
          <w:rFonts w:hint="eastAsia"/>
          <w:kern w:val="2"/>
          <w:szCs w:val="24"/>
        </w:rPr>
        <w:t xml:space="preserve">  </w:t>
      </w:r>
      <w:r>
        <w:rPr>
          <w:kern w:val="2"/>
          <w:szCs w:val="24"/>
        </w:rPr>
        <w:t xml:space="preserve">   </w:t>
      </w:r>
      <w:r>
        <w:rPr>
          <w:kern w:val="2"/>
          <w:szCs w:val="24"/>
          <w:lang w:val="zh-CN"/>
        </w:rPr>
        <w:t>年</w:t>
      </w:r>
      <w:r>
        <w:rPr>
          <w:kern w:val="2"/>
          <w:szCs w:val="24"/>
        </w:rPr>
        <w:t xml:space="preserve">     </w:t>
      </w:r>
      <w:r>
        <w:rPr>
          <w:kern w:val="2"/>
          <w:szCs w:val="24"/>
          <w:lang w:val="zh-CN"/>
        </w:rPr>
        <w:t>月</w:t>
      </w:r>
      <w:r>
        <w:rPr>
          <w:kern w:val="2"/>
          <w:szCs w:val="24"/>
        </w:rPr>
        <w:t xml:space="preserve">     </w:t>
      </w:r>
      <w:r>
        <w:rPr>
          <w:kern w:val="2"/>
          <w:szCs w:val="24"/>
          <w:lang w:val="zh-CN"/>
        </w:rPr>
        <w:t>日</w:t>
      </w:r>
    </w:p>
    <w:p w14:paraId="0DA9E338">
      <w:pPr>
        <w:snapToGrid w:val="0"/>
        <w:ind w:right="357"/>
        <w:rPr>
          <w:b/>
          <w:kern w:val="2"/>
          <w:szCs w:val="24"/>
          <w:lang w:val="zh-CN"/>
        </w:rPr>
      </w:pPr>
      <w:r>
        <w:rPr>
          <w:b/>
          <w:kern w:val="2"/>
          <w:szCs w:val="24"/>
          <w:lang w:val="zh-CN"/>
        </w:rPr>
        <w:t>格式</w:t>
      </w:r>
      <w:r>
        <w:rPr>
          <w:rFonts w:hint="eastAsia"/>
          <w:b/>
          <w:kern w:val="2"/>
          <w:szCs w:val="24"/>
          <w:lang w:val="zh-CN"/>
        </w:rPr>
        <w:t>7、资格证明文件</w:t>
      </w:r>
      <w:r>
        <w:rPr>
          <w:b/>
          <w:kern w:val="2"/>
          <w:szCs w:val="24"/>
          <w:lang w:val="zh-CN"/>
        </w:rPr>
        <w:tab/>
      </w:r>
    </w:p>
    <w:p w14:paraId="215F0AF9">
      <w:pPr>
        <w:pStyle w:val="9"/>
        <w:overflowPunct w:val="0"/>
        <w:ind w:firstLine="0"/>
        <w:jc w:val="both"/>
        <w:outlineLvl w:val="0"/>
        <w:rPr>
          <w:rFonts w:ascii="宋体" w:eastAsia="宋体"/>
          <w:szCs w:val="24"/>
        </w:rPr>
      </w:pPr>
      <w:r>
        <w:rPr>
          <w:rFonts w:ascii="宋体" w:hAnsi="宋体" w:eastAsia="宋体"/>
          <w:b/>
          <w:szCs w:val="24"/>
        </w:rPr>
        <w:t>(1)</w:t>
      </w:r>
      <w:r>
        <w:rPr>
          <w:rFonts w:hint="eastAsia" w:ascii="宋体" w:hAnsi="宋体" w:eastAsia="宋体"/>
          <w:b/>
          <w:szCs w:val="24"/>
        </w:rPr>
        <w:t>、关于资格文件的声明函</w:t>
      </w:r>
    </w:p>
    <w:p w14:paraId="20A7C02C">
      <w:pPr>
        <w:widowControl w:val="0"/>
        <w:autoSpaceDE w:val="0"/>
        <w:autoSpaceDN w:val="0"/>
        <w:adjustRightInd w:val="0"/>
        <w:spacing w:line="360" w:lineRule="auto"/>
        <w:jc w:val="center"/>
        <w:rPr>
          <w:rFonts w:ascii="黑体" w:eastAsia="黑体"/>
          <w:b/>
          <w:kern w:val="2"/>
          <w:szCs w:val="24"/>
          <w:lang w:val="zh-CN"/>
        </w:rPr>
      </w:pPr>
      <w:r>
        <w:rPr>
          <w:rFonts w:hint="eastAsia" w:ascii="黑体" w:eastAsia="黑体"/>
          <w:b/>
          <w:kern w:val="2"/>
          <w:szCs w:val="24"/>
          <w:lang w:val="zh-CN"/>
        </w:rPr>
        <w:t>关于资格文件的声明函</w:t>
      </w:r>
    </w:p>
    <w:p w14:paraId="770D15FE">
      <w:pPr>
        <w:pStyle w:val="9"/>
        <w:overflowPunct w:val="0"/>
        <w:spacing w:line="360" w:lineRule="auto"/>
        <w:ind w:firstLine="0"/>
        <w:rPr>
          <w:rFonts w:ascii="宋体" w:eastAsia="宋体"/>
          <w:szCs w:val="24"/>
        </w:rPr>
      </w:pPr>
      <w:r>
        <w:rPr>
          <w:rFonts w:hint="eastAsia" w:eastAsia="宋体"/>
          <w:szCs w:val="24"/>
          <w:u w:val="single"/>
        </w:rPr>
        <w:t>苏州市永诚建设咨询有限公司</w:t>
      </w:r>
      <w:r>
        <w:rPr>
          <w:rFonts w:hint="eastAsia" w:ascii="宋体" w:hAnsi="宋体" w:eastAsia="宋体"/>
          <w:szCs w:val="24"/>
        </w:rPr>
        <w:t>：</w:t>
      </w:r>
    </w:p>
    <w:p w14:paraId="086968DC">
      <w:pPr>
        <w:pStyle w:val="9"/>
        <w:overflowPunct w:val="0"/>
        <w:spacing w:line="360" w:lineRule="auto"/>
        <w:rPr>
          <w:rFonts w:ascii="宋体" w:eastAsia="宋体"/>
          <w:szCs w:val="24"/>
        </w:rPr>
      </w:pPr>
      <w:r>
        <w:rPr>
          <w:rFonts w:hint="eastAsia" w:ascii="宋体" w:hAnsi="宋体" w:eastAsia="宋体"/>
          <w:szCs w:val="24"/>
        </w:rPr>
        <w:t>本公司愿就由贵公司组织实施的编号为</w:t>
      </w:r>
      <w:r>
        <w:rPr>
          <w:rFonts w:ascii="宋体" w:hAnsi="宋体"/>
          <w:szCs w:val="24"/>
          <w:u w:val="single"/>
        </w:rPr>
        <w:t xml:space="preserve">SZYCZX2024-RQ-G-007 </w:t>
      </w:r>
      <w:r>
        <w:rPr>
          <w:rFonts w:hint="eastAsia" w:ascii="宋体" w:hAnsi="宋体" w:eastAsia="宋体"/>
          <w:szCs w:val="24"/>
        </w:rPr>
        <w:t>号的招标活动进行投标。本公司所提交的投标文件中所有关于投标资格的文件、证明和陈述均是真实的、准确的。若与真实情况不符，本公司愿意承担由此而产生的一切后果。</w:t>
      </w:r>
    </w:p>
    <w:p w14:paraId="15DB45E0">
      <w:pPr>
        <w:pStyle w:val="9"/>
        <w:overflowPunct w:val="0"/>
        <w:spacing w:line="360" w:lineRule="auto"/>
        <w:rPr>
          <w:rFonts w:ascii="宋体" w:eastAsia="宋体"/>
          <w:szCs w:val="24"/>
        </w:rPr>
      </w:pPr>
      <w:r>
        <w:rPr>
          <w:rFonts w:ascii="宋体" w:hAnsi="宋体" w:eastAsia="宋体"/>
          <w:szCs w:val="24"/>
        </w:rPr>
        <w:tab/>
      </w:r>
      <w:r>
        <w:rPr>
          <w:rFonts w:ascii="宋体" w:hAnsi="宋体" w:eastAsia="宋体"/>
          <w:szCs w:val="24"/>
        </w:rPr>
        <w:tab/>
      </w:r>
      <w:r>
        <w:rPr>
          <w:rFonts w:ascii="宋体" w:hAnsi="宋体" w:eastAsia="宋体"/>
          <w:szCs w:val="24"/>
        </w:rPr>
        <w:tab/>
      </w:r>
      <w:r>
        <w:rPr>
          <w:rFonts w:ascii="宋体" w:hAnsi="宋体" w:eastAsia="宋体"/>
          <w:szCs w:val="24"/>
        </w:rPr>
        <w:tab/>
      </w:r>
      <w:r>
        <w:rPr>
          <w:rFonts w:hint="eastAsia" w:ascii="宋体" w:hAnsi="宋体" w:eastAsia="宋体"/>
          <w:szCs w:val="24"/>
        </w:rPr>
        <w:t>（投标方）法定代表人签字或盖章：</w:t>
      </w:r>
    </w:p>
    <w:p w14:paraId="2A897BDA">
      <w:pPr>
        <w:pStyle w:val="9"/>
        <w:overflowPunct w:val="0"/>
        <w:spacing w:line="360" w:lineRule="auto"/>
        <w:ind w:left="1700" w:firstLine="425"/>
        <w:rPr>
          <w:rFonts w:ascii="宋体" w:eastAsia="宋体"/>
          <w:szCs w:val="24"/>
        </w:rPr>
      </w:pPr>
      <w:r>
        <w:rPr>
          <w:rFonts w:hint="eastAsia" w:ascii="宋体" w:hAnsi="宋体" w:eastAsia="宋体"/>
          <w:szCs w:val="24"/>
        </w:rPr>
        <w:t>（投标方）公章：</w:t>
      </w:r>
    </w:p>
    <w:p w14:paraId="706B2755">
      <w:pPr>
        <w:pStyle w:val="9"/>
        <w:overflowPunct w:val="0"/>
        <w:spacing w:line="360" w:lineRule="auto"/>
        <w:ind w:left="4675" w:firstLine="425"/>
        <w:rPr>
          <w:rFonts w:ascii="宋体" w:hAnsi="宋体" w:eastAsia="宋体"/>
          <w:b/>
          <w:szCs w:val="24"/>
        </w:rPr>
      </w:pPr>
      <w:r>
        <w:rPr>
          <w:rFonts w:hint="eastAsia" w:hAnsi="宋体" w:eastAsia="宋体"/>
          <w:szCs w:val="24"/>
        </w:rPr>
        <w:t>日期：</w:t>
      </w:r>
      <w:r>
        <w:rPr>
          <w:rFonts w:hint="eastAsia" w:ascii="宋体" w:hAnsi="宋体" w:eastAsia="宋体"/>
          <w:szCs w:val="24"/>
        </w:rPr>
        <w:t>年</w:t>
      </w:r>
      <w:r>
        <w:rPr>
          <w:rFonts w:ascii="宋体" w:eastAsia="宋体"/>
          <w:szCs w:val="24"/>
        </w:rPr>
        <w:tab/>
      </w:r>
      <w:r>
        <w:rPr>
          <w:rFonts w:hint="eastAsia" w:ascii="宋体" w:hAnsi="宋体" w:eastAsia="宋体"/>
          <w:szCs w:val="24"/>
        </w:rPr>
        <w:t>月日</w:t>
      </w:r>
    </w:p>
    <w:p w14:paraId="401CC0E7">
      <w:pPr>
        <w:pStyle w:val="9"/>
        <w:overflowPunct w:val="0"/>
        <w:ind w:firstLine="0"/>
        <w:rPr>
          <w:rFonts w:ascii="宋体" w:hAnsi="宋体" w:eastAsia="宋体"/>
          <w:b/>
          <w:sz w:val="21"/>
          <w:szCs w:val="21"/>
        </w:rPr>
      </w:pPr>
    </w:p>
    <w:p w14:paraId="05CA3D8C">
      <w:pPr>
        <w:pStyle w:val="9"/>
        <w:overflowPunct w:val="0"/>
        <w:ind w:firstLine="0"/>
        <w:rPr>
          <w:rFonts w:ascii="宋体" w:hAnsi="宋体" w:eastAsia="宋体"/>
          <w:b/>
          <w:szCs w:val="24"/>
        </w:rPr>
      </w:pPr>
      <w:r>
        <w:rPr>
          <w:rFonts w:ascii="宋体" w:hAnsi="宋体" w:eastAsia="宋体"/>
          <w:b/>
          <w:szCs w:val="24"/>
        </w:rPr>
        <w:t>(2)</w:t>
      </w:r>
      <w:r>
        <w:rPr>
          <w:rFonts w:hint="eastAsia" w:ascii="宋体" w:hAnsi="宋体" w:eastAsia="宋体"/>
          <w:b/>
          <w:szCs w:val="24"/>
        </w:rPr>
        <w:t>、投标单位情况表</w:t>
      </w:r>
    </w:p>
    <w:p w14:paraId="16A882B3">
      <w:pPr>
        <w:widowControl w:val="0"/>
        <w:autoSpaceDE w:val="0"/>
        <w:autoSpaceDN w:val="0"/>
        <w:adjustRightInd w:val="0"/>
        <w:spacing w:line="360" w:lineRule="auto"/>
        <w:jc w:val="center"/>
        <w:rPr>
          <w:rFonts w:ascii="黑体" w:eastAsia="黑体"/>
          <w:b/>
          <w:kern w:val="2"/>
          <w:szCs w:val="24"/>
          <w:lang w:val="zh-CN"/>
        </w:rPr>
      </w:pPr>
      <w:r>
        <w:rPr>
          <w:rFonts w:ascii="黑体" w:eastAsia="黑体"/>
          <w:b/>
          <w:kern w:val="2"/>
          <w:szCs w:val="24"/>
          <w:lang w:val="zh-CN"/>
        </w:rPr>
        <w:t>投标人情况表</w:t>
      </w:r>
    </w:p>
    <w:p w14:paraId="6F841DA3">
      <w:pPr>
        <w:widowControl w:val="0"/>
        <w:autoSpaceDE w:val="0"/>
        <w:autoSpaceDN w:val="0"/>
        <w:adjustRightInd w:val="0"/>
        <w:spacing w:line="360" w:lineRule="auto"/>
        <w:ind w:firstLine="425"/>
        <w:jc w:val="both"/>
        <w:rPr>
          <w:kern w:val="2"/>
          <w:szCs w:val="24"/>
        </w:rPr>
      </w:pPr>
      <w:r>
        <w:rPr>
          <w:rFonts w:hAnsi="宋体"/>
          <w:kern w:val="2"/>
          <w:szCs w:val="24"/>
          <w:lang w:val="zh-CN"/>
        </w:rPr>
        <w:t>招标编号：</w:t>
      </w:r>
    </w:p>
    <w:tbl>
      <w:tblPr>
        <w:tblStyle w:val="56"/>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3402"/>
        <w:gridCol w:w="1418"/>
        <w:gridCol w:w="142"/>
        <w:gridCol w:w="992"/>
        <w:gridCol w:w="142"/>
        <w:gridCol w:w="1550"/>
        <w:gridCol w:w="1852"/>
      </w:tblGrid>
      <w:tr w14:paraId="52F9DF9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58CC0850">
            <w:pPr>
              <w:widowControl w:val="0"/>
              <w:autoSpaceDE w:val="0"/>
              <w:autoSpaceDN w:val="0"/>
              <w:adjustRightInd w:val="0"/>
              <w:spacing w:line="320" w:lineRule="exact"/>
              <w:jc w:val="both"/>
              <w:rPr>
                <w:kern w:val="2"/>
                <w:szCs w:val="24"/>
              </w:rPr>
            </w:pPr>
            <w:r>
              <w:rPr>
                <w:kern w:val="2"/>
                <w:szCs w:val="24"/>
                <w:lang w:val="zh-CN"/>
              </w:rPr>
              <w:t>法定代表人</w:t>
            </w:r>
          </w:p>
        </w:tc>
        <w:tc>
          <w:tcPr>
            <w:tcW w:w="1418" w:type="dxa"/>
            <w:tcBorders>
              <w:top w:val="single" w:color="auto" w:sz="6" w:space="0"/>
              <w:left w:val="single" w:color="auto" w:sz="6" w:space="0"/>
              <w:bottom w:val="single" w:color="auto" w:sz="6" w:space="0"/>
              <w:right w:val="single" w:color="auto" w:sz="6" w:space="0"/>
            </w:tcBorders>
            <w:vAlign w:val="center"/>
          </w:tcPr>
          <w:p w14:paraId="4C7DD6A0">
            <w:pPr>
              <w:widowControl w:val="0"/>
              <w:autoSpaceDE w:val="0"/>
              <w:autoSpaceDN w:val="0"/>
              <w:adjustRightInd w:val="0"/>
              <w:spacing w:line="320" w:lineRule="exact"/>
              <w:jc w:val="both"/>
              <w:rPr>
                <w:kern w:val="2"/>
                <w:szCs w:val="24"/>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14:paraId="1CC190C5">
            <w:pPr>
              <w:widowControl w:val="0"/>
              <w:autoSpaceDE w:val="0"/>
              <w:autoSpaceDN w:val="0"/>
              <w:adjustRightInd w:val="0"/>
              <w:spacing w:line="320" w:lineRule="exact"/>
              <w:jc w:val="both"/>
              <w:rPr>
                <w:kern w:val="2"/>
                <w:szCs w:val="24"/>
              </w:rPr>
            </w:pPr>
            <w:r>
              <w:rPr>
                <w:kern w:val="2"/>
                <w:szCs w:val="24"/>
                <w:lang w:val="zh-CN"/>
              </w:rPr>
              <w:t>成立日期</w:t>
            </w:r>
          </w:p>
        </w:tc>
        <w:tc>
          <w:tcPr>
            <w:tcW w:w="3544" w:type="dxa"/>
            <w:gridSpan w:val="3"/>
            <w:tcBorders>
              <w:top w:val="single" w:color="auto" w:sz="6" w:space="0"/>
              <w:left w:val="single" w:color="auto" w:sz="6" w:space="0"/>
              <w:bottom w:val="single" w:color="auto" w:sz="6" w:space="0"/>
              <w:right w:val="single" w:color="auto" w:sz="6" w:space="0"/>
            </w:tcBorders>
            <w:vAlign w:val="center"/>
          </w:tcPr>
          <w:p w14:paraId="4C4563A1">
            <w:pPr>
              <w:widowControl w:val="0"/>
              <w:autoSpaceDE w:val="0"/>
              <w:autoSpaceDN w:val="0"/>
              <w:adjustRightInd w:val="0"/>
              <w:spacing w:line="320" w:lineRule="exact"/>
              <w:jc w:val="both"/>
              <w:rPr>
                <w:kern w:val="2"/>
                <w:szCs w:val="24"/>
              </w:rPr>
            </w:pPr>
          </w:p>
        </w:tc>
      </w:tr>
      <w:tr w14:paraId="159D83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488EF5C9">
            <w:pPr>
              <w:widowControl w:val="0"/>
              <w:autoSpaceDE w:val="0"/>
              <w:autoSpaceDN w:val="0"/>
              <w:adjustRightInd w:val="0"/>
              <w:spacing w:line="320" w:lineRule="exact"/>
              <w:jc w:val="both"/>
              <w:rPr>
                <w:kern w:val="2"/>
                <w:szCs w:val="24"/>
              </w:rPr>
            </w:pPr>
            <w:r>
              <w:rPr>
                <w:kern w:val="2"/>
                <w:szCs w:val="24"/>
                <w:lang w:val="zh-CN"/>
              </w:rPr>
              <w:t>企业地址</w:t>
            </w:r>
          </w:p>
        </w:tc>
        <w:tc>
          <w:tcPr>
            <w:tcW w:w="1418" w:type="dxa"/>
            <w:tcBorders>
              <w:top w:val="single" w:color="auto" w:sz="6" w:space="0"/>
              <w:left w:val="single" w:color="auto" w:sz="6" w:space="0"/>
              <w:bottom w:val="single" w:color="auto" w:sz="6" w:space="0"/>
              <w:right w:val="single" w:color="auto" w:sz="6" w:space="0"/>
            </w:tcBorders>
            <w:vAlign w:val="center"/>
          </w:tcPr>
          <w:p w14:paraId="59E3418E">
            <w:pPr>
              <w:widowControl w:val="0"/>
              <w:autoSpaceDE w:val="0"/>
              <w:autoSpaceDN w:val="0"/>
              <w:adjustRightInd w:val="0"/>
              <w:spacing w:line="320" w:lineRule="exact"/>
              <w:jc w:val="both"/>
              <w:rPr>
                <w:kern w:val="2"/>
                <w:szCs w:val="24"/>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14:paraId="2D18D403">
            <w:pPr>
              <w:widowControl w:val="0"/>
              <w:autoSpaceDE w:val="0"/>
              <w:autoSpaceDN w:val="0"/>
              <w:adjustRightInd w:val="0"/>
              <w:spacing w:line="320" w:lineRule="exact"/>
              <w:jc w:val="both"/>
              <w:rPr>
                <w:kern w:val="2"/>
                <w:szCs w:val="24"/>
              </w:rPr>
            </w:pPr>
            <w:r>
              <w:rPr>
                <w:kern w:val="2"/>
                <w:szCs w:val="24"/>
                <w:lang w:val="zh-CN"/>
              </w:rPr>
              <w:t>注册资本</w:t>
            </w:r>
          </w:p>
        </w:tc>
        <w:tc>
          <w:tcPr>
            <w:tcW w:w="3544" w:type="dxa"/>
            <w:gridSpan w:val="3"/>
            <w:tcBorders>
              <w:top w:val="single" w:color="auto" w:sz="6" w:space="0"/>
              <w:left w:val="single" w:color="auto" w:sz="6" w:space="0"/>
              <w:bottom w:val="single" w:color="auto" w:sz="6" w:space="0"/>
              <w:right w:val="single" w:color="auto" w:sz="6" w:space="0"/>
            </w:tcBorders>
            <w:vAlign w:val="center"/>
          </w:tcPr>
          <w:p w14:paraId="022324B4">
            <w:pPr>
              <w:widowControl w:val="0"/>
              <w:autoSpaceDE w:val="0"/>
              <w:autoSpaceDN w:val="0"/>
              <w:adjustRightInd w:val="0"/>
              <w:spacing w:line="320" w:lineRule="exact"/>
              <w:jc w:val="right"/>
              <w:rPr>
                <w:kern w:val="2"/>
                <w:szCs w:val="24"/>
              </w:rPr>
            </w:pPr>
            <w:r>
              <w:rPr>
                <w:kern w:val="2"/>
                <w:szCs w:val="24"/>
                <w:lang w:val="zh-CN"/>
              </w:rPr>
              <w:t>万元</w:t>
            </w:r>
          </w:p>
        </w:tc>
      </w:tr>
      <w:tr w14:paraId="730F66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0140C98C">
            <w:pPr>
              <w:widowControl w:val="0"/>
              <w:autoSpaceDE w:val="0"/>
              <w:autoSpaceDN w:val="0"/>
              <w:adjustRightInd w:val="0"/>
              <w:spacing w:line="320" w:lineRule="exact"/>
              <w:jc w:val="both"/>
              <w:rPr>
                <w:kern w:val="2"/>
                <w:szCs w:val="24"/>
              </w:rPr>
            </w:pPr>
            <w:r>
              <w:rPr>
                <w:kern w:val="2"/>
                <w:szCs w:val="24"/>
                <w:lang w:val="zh-CN"/>
              </w:rPr>
              <w:t>经营范围</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09DEF3C2">
            <w:pPr>
              <w:widowControl w:val="0"/>
              <w:autoSpaceDE w:val="0"/>
              <w:autoSpaceDN w:val="0"/>
              <w:adjustRightInd w:val="0"/>
              <w:spacing w:line="320" w:lineRule="exact"/>
              <w:jc w:val="both"/>
              <w:rPr>
                <w:kern w:val="2"/>
                <w:szCs w:val="24"/>
              </w:rPr>
            </w:pPr>
          </w:p>
        </w:tc>
      </w:tr>
      <w:tr w14:paraId="4710444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63ECD455">
            <w:pPr>
              <w:widowControl w:val="0"/>
              <w:autoSpaceDE w:val="0"/>
              <w:autoSpaceDN w:val="0"/>
              <w:adjustRightInd w:val="0"/>
              <w:spacing w:line="320" w:lineRule="exact"/>
              <w:jc w:val="both"/>
              <w:rPr>
                <w:kern w:val="2"/>
                <w:szCs w:val="24"/>
              </w:rPr>
            </w:pPr>
            <w:r>
              <w:rPr>
                <w:kern w:val="2"/>
                <w:szCs w:val="24"/>
                <w:lang w:val="zh-CN"/>
              </w:rPr>
              <w:t>职工人数</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3F90E6DF">
            <w:pPr>
              <w:widowControl w:val="0"/>
              <w:autoSpaceDE w:val="0"/>
              <w:autoSpaceDN w:val="0"/>
              <w:adjustRightInd w:val="0"/>
              <w:spacing w:line="320" w:lineRule="exact"/>
              <w:jc w:val="both"/>
              <w:rPr>
                <w:kern w:val="2"/>
                <w:szCs w:val="24"/>
              </w:rPr>
            </w:pPr>
          </w:p>
        </w:tc>
        <w:tc>
          <w:tcPr>
            <w:tcW w:w="2684" w:type="dxa"/>
            <w:gridSpan w:val="3"/>
            <w:tcBorders>
              <w:top w:val="single" w:color="auto" w:sz="6" w:space="0"/>
              <w:left w:val="single" w:color="auto" w:sz="6" w:space="0"/>
              <w:bottom w:val="single" w:color="auto" w:sz="6" w:space="0"/>
              <w:right w:val="single" w:color="auto" w:sz="6" w:space="0"/>
            </w:tcBorders>
            <w:vAlign w:val="center"/>
          </w:tcPr>
          <w:p w14:paraId="1F434A23">
            <w:pPr>
              <w:widowControl w:val="0"/>
              <w:autoSpaceDE w:val="0"/>
              <w:autoSpaceDN w:val="0"/>
              <w:adjustRightInd w:val="0"/>
              <w:spacing w:line="320" w:lineRule="exact"/>
              <w:jc w:val="both"/>
              <w:rPr>
                <w:kern w:val="2"/>
                <w:szCs w:val="24"/>
              </w:rPr>
            </w:pPr>
            <w:r>
              <w:rPr>
                <w:kern w:val="2"/>
                <w:szCs w:val="24"/>
                <w:lang w:val="zh-CN"/>
              </w:rPr>
              <w:t>其中：有中高级以上职称的人数</w:t>
            </w:r>
          </w:p>
        </w:tc>
        <w:tc>
          <w:tcPr>
            <w:tcW w:w="1852" w:type="dxa"/>
            <w:tcBorders>
              <w:top w:val="single" w:color="auto" w:sz="6" w:space="0"/>
              <w:left w:val="single" w:color="auto" w:sz="6" w:space="0"/>
              <w:bottom w:val="single" w:color="auto" w:sz="6" w:space="0"/>
              <w:right w:val="single" w:color="auto" w:sz="6" w:space="0"/>
            </w:tcBorders>
            <w:vAlign w:val="center"/>
          </w:tcPr>
          <w:p w14:paraId="27F809E4">
            <w:pPr>
              <w:widowControl w:val="0"/>
              <w:autoSpaceDE w:val="0"/>
              <w:autoSpaceDN w:val="0"/>
              <w:adjustRightInd w:val="0"/>
              <w:spacing w:line="320" w:lineRule="exact"/>
              <w:jc w:val="both"/>
              <w:rPr>
                <w:kern w:val="2"/>
                <w:szCs w:val="24"/>
              </w:rPr>
            </w:pPr>
          </w:p>
        </w:tc>
      </w:tr>
      <w:tr w14:paraId="2A7AE3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766C4D71">
            <w:pPr>
              <w:widowControl w:val="0"/>
              <w:autoSpaceDE w:val="0"/>
              <w:autoSpaceDN w:val="0"/>
              <w:adjustRightInd w:val="0"/>
              <w:spacing w:line="320" w:lineRule="exact"/>
              <w:jc w:val="both"/>
              <w:rPr>
                <w:kern w:val="2"/>
                <w:szCs w:val="24"/>
              </w:rPr>
            </w:pPr>
            <w:r>
              <w:rPr>
                <w:kern w:val="2"/>
                <w:szCs w:val="24"/>
                <w:lang w:val="zh-CN"/>
              </w:rPr>
              <w:t>资产总计</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1B92D706">
            <w:pPr>
              <w:widowControl w:val="0"/>
              <w:autoSpaceDE w:val="0"/>
              <w:autoSpaceDN w:val="0"/>
              <w:adjustRightInd w:val="0"/>
              <w:spacing w:line="320" w:lineRule="exact"/>
              <w:jc w:val="both"/>
              <w:rPr>
                <w:kern w:val="2"/>
                <w:szCs w:val="24"/>
              </w:rPr>
            </w:pPr>
            <w:r>
              <w:rPr>
                <w:kern w:val="2"/>
                <w:szCs w:val="24"/>
                <w:lang w:val="zh-CN"/>
              </w:rPr>
              <w:t xml:space="preserve">     </w:t>
            </w:r>
            <w:r>
              <w:rPr>
                <w:rFonts w:hint="eastAsia"/>
                <w:kern w:val="2"/>
                <w:szCs w:val="24"/>
                <w:lang w:val="zh-CN"/>
              </w:rPr>
              <w:t xml:space="preserve">  </w:t>
            </w:r>
            <w:r>
              <w:rPr>
                <w:kern w:val="2"/>
                <w:szCs w:val="24"/>
                <w:lang w:val="zh-CN"/>
              </w:rPr>
              <w:t xml:space="preserve"> 万元</w:t>
            </w:r>
          </w:p>
        </w:tc>
        <w:tc>
          <w:tcPr>
            <w:tcW w:w="1134" w:type="dxa"/>
            <w:gridSpan w:val="2"/>
            <w:tcBorders>
              <w:top w:val="single" w:color="auto" w:sz="6" w:space="0"/>
              <w:left w:val="single" w:color="auto" w:sz="6" w:space="0"/>
              <w:bottom w:val="single" w:color="auto" w:sz="6" w:space="0"/>
              <w:right w:val="single" w:color="auto" w:sz="6" w:space="0"/>
            </w:tcBorders>
            <w:vAlign w:val="center"/>
          </w:tcPr>
          <w:p w14:paraId="3113E932">
            <w:pPr>
              <w:widowControl w:val="0"/>
              <w:autoSpaceDE w:val="0"/>
              <w:autoSpaceDN w:val="0"/>
              <w:adjustRightInd w:val="0"/>
              <w:spacing w:line="320" w:lineRule="exact"/>
              <w:jc w:val="both"/>
              <w:rPr>
                <w:kern w:val="2"/>
                <w:szCs w:val="24"/>
              </w:rPr>
            </w:pPr>
            <w:r>
              <w:rPr>
                <w:kern w:val="2"/>
                <w:szCs w:val="24"/>
                <w:lang w:val="zh-CN"/>
              </w:rPr>
              <w:t>净资产</w:t>
            </w:r>
          </w:p>
        </w:tc>
        <w:tc>
          <w:tcPr>
            <w:tcW w:w="3402" w:type="dxa"/>
            <w:gridSpan w:val="2"/>
            <w:tcBorders>
              <w:top w:val="single" w:color="auto" w:sz="6" w:space="0"/>
              <w:left w:val="single" w:color="auto" w:sz="6" w:space="0"/>
              <w:bottom w:val="single" w:color="auto" w:sz="6" w:space="0"/>
              <w:right w:val="single" w:color="auto" w:sz="6" w:space="0"/>
            </w:tcBorders>
            <w:vAlign w:val="center"/>
          </w:tcPr>
          <w:p w14:paraId="412C2983">
            <w:pPr>
              <w:widowControl w:val="0"/>
              <w:autoSpaceDE w:val="0"/>
              <w:autoSpaceDN w:val="0"/>
              <w:adjustRightInd w:val="0"/>
              <w:spacing w:line="320" w:lineRule="exact"/>
              <w:jc w:val="both"/>
              <w:rPr>
                <w:kern w:val="2"/>
                <w:szCs w:val="24"/>
              </w:rPr>
            </w:pPr>
            <w:r>
              <w:rPr>
                <w:kern w:val="2"/>
                <w:szCs w:val="24"/>
                <w:lang w:val="zh-CN"/>
              </w:rPr>
              <w:t>万元</w:t>
            </w:r>
          </w:p>
        </w:tc>
      </w:tr>
      <w:tr w14:paraId="2713CA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57D20D6A">
            <w:pPr>
              <w:widowControl w:val="0"/>
              <w:autoSpaceDE w:val="0"/>
              <w:autoSpaceDN w:val="0"/>
              <w:adjustRightInd w:val="0"/>
              <w:spacing w:line="320" w:lineRule="exact"/>
              <w:jc w:val="both"/>
              <w:rPr>
                <w:kern w:val="2"/>
                <w:szCs w:val="24"/>
              </w:rPr>
            </w:pPr>
            <w:r>
              <w:rPr>
                <w:kern w:val="2"/>
                <w:szCs w:val="24"/>
                <w:lang w:val="zh-CN"/>
              </w:rPr>
              <w:t>股东权益</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52DF1D4F">
            <w:pPr>
              <w:widowControl w:val="0"/>
              <w:autoSpaceDE w:val="0"/>
              <w:autoSpaceDN w:val="0"/>
              <w:adjustRightInd w:val="0"/>
              <w:spacing w:line="320" w:lineRule="exact"/>
              <w:jc w:val="both"/>
              <w:rPr>
                <w:kern w:val="2"/>
                <w:szCs w:val="24"/>
              </w:rPr>
            </w:pPr>
            <w:r>
              <w:rPr>
                <w:kern w:val="2"/>
                <w:szCs w:val="24"/>
                <w:lang w:val="zh-CN"/>
              </w:rPr>
              <w:t xml:space="preserve">   </w:t>
            </w:r>
            <w:r>
              <w:rPr>
                <w:rFonts w:hint="eastAsia"/>
                <w:kern w:val="2"/>
                <w:szCs w:val="24"/>
                <w:lang w:val="zh-CN"/>
              </w:rPr>
              <w:t xml:space="preserve">   </w:t>
            </w:r>
            <w:r>
              <w:rPr>
                <w:kern w:val="2"/>
                <w:szCs w:val="24"/>
                <w:lang w:val="zh-CN"/>
              </w:rPr>
              <w:t xml:space="preserve">  万元</w:t>
            </w:r>
          </w:p>
        </w:tc>
        <w:tc>
          <w:tcPr>
            <w:tcW w:w="1134" w:type="dxa"/>
            <w:gridSpan w:val="2"/>
            <w:tcBorders>
              <w:top w:val="single" w:color="auto" w:sz="6" w:space="0"/>
              <w:left w:val="single" w:color="auto" w:sz="6" w:space="0"/>
              <w:bottom w:val="single" w:color="auto" w:sz="6" w:space="0"/>
              <w:right w:val="single" w:color="auto" w:sz="6" w:space="0"/>
            </w:tcBorders>
            <w:vAlign w:val="center"/>
          </w:tcPr>
          <w:p w14:paraId="0A1F3E9A">
            <w:pPr>
              <w:widowControl w:val="0"/>
              <w:autoSpaceDE w:val="0"/>
              <w:autoSpaceDN w:val="0"/>
              <w:adjustRightInd w:val="0"/>
              <w:spacing w:line="320" w:lineRule="exact"/>
              <w:jc w:val="both"/>
              <w:rPr>
                <w:kern w:val="2"/>
                <w:szCs w:val="24"/>
              </w:rPr>
            </w:pPr>
            <w:r>
              <w:rPr>
                <w:kern w:val="2"/>
                <w:szCs w:val="24"/>
                <w:lang w:val="zh-CN"/>
              </w:rPr>
              <w:t>销售收入</w:t>
            </w:r>
          </w:p>
        </w:tc>
        <w:tc>
          <w:tcPr>
            <w:tcW w:w="3402" w:type="dxa"/>
            <w:gridSpan w:val="2"/>
            <w:tcBorders>
              <w:top w:val="single" w:color="auto" w:sz="6" w:space="0"/>
              <w:left w:val="single" w:color="auto" w:sz="6" w:space="0"/>
              <w:bottom w:val="single" w:color="auto" w:sz="6" w:space="0"/>
              <w:right w:val="single" w:color="auto" w:sz="6" w:space="0"/>
            </w:tcBorders>
            <w:vAlign w:val="center"/>
          </w:tcPr>
          <w:p w14:paraId="76879E33">
            <w:pPr>
              <w:widowControl w:val="0"/>
              <w:autoSpaceDE w:val="0"/>
              <w:autoSpaceDN w:val="0"/>
              <w:adjustRightInd w:val="0"/>
              <w:spacing w:line="320" w:lineRule="exact"/>
              <w:jc w:val="both"/>
              <w:rPr>
                <w:kern w:val="2"/>
                <w:szCs w:val="24"/>
              </w:rPr>
            </w:pPr>
            <w:r>
              <w:rPr>
                <w:rFonts w:hint="eastAsia"/>
                <w:kern w:val="2"/>
                <w:szCs w:val="24"/>
                <w:lang w:val="zh-CN"/>
              </w:rPr>
              <w:t>202</w:t>
            </w:r>
            <w:r>
              <w:rPr>
                <w:kern w:val="2"/>
                <w:szCs w:val="24"/>
                <w:lang w:val="zh-CN"/>
              </w:rPr>
              <w:t>3</w:t>
            </w:r>
            <w:r>
              <w:rPr>
                <w:rFonts w:hint="eastAsia"/>
                <w:kern w:val="2"/>
                <w:szCs w:val="24"/>
                <w:lang w:val="zh-CN"/>
              </w:rPr>
              <w:t>年       万元</w:t>
            </w:r>
          </w:p>
        </w:tc>
      </w:tr>
      <w:tr w14:paraId="4681E3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175C4D9C">
            <w:pPr>
              <w:widowControl w:val="0"/>
              <w:autoSpaceDE w:val="0"/>
              <w:autoSpaceDN w:val="0"/>
              <w:adjustRightInd w:val="0"/>
              <w:spacing w:line="320" w:lineRule="exact"/>
              <w:jc w:val="both"/>
              <w:rPr>
                <w:kern w:val="2"/>
                <w:szCs w:val="24"/>
              </w:rPr>
            </w:pPr>
            <w:r>
              <w:rPr>
                <w:kern w:val="2"/>
                <w:szCs w:val="24"/>
                <w:lang w:val="zh-CN"/>
              </w:rPr>
              <w:t>实现利润</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041E8C6F">
            <w:pPr>
              <w:widowControl w:val="0"/>
              <w:autoSpaceDE w:val="0"/>
              <w:autoSpaceDN w:val="0"/>
              <w:adjustRightInd w:val="0"/>
              <w:spacing w:line="320" w:lineRule="exact"/>
              <w:jc w:val="both"/>
              <w:rPr>
                <w:kern w:val="2"/>
                <w:szCs w:val="24"/>
              </w:rPr>
            </w:pPr>
            <w:r>
              <w:rPr>
                <w:rFonts w:hint="eastAsia"/>
                <w:kern w:val="2"/>
                <w:szCs w:val="24"/>
                <w:lang w:val="zh-CN"/>
              </w:rPr>
              <w:t>202</w:t>
            </w:r>
            <w:r>
              <w:rPr>
                <w:kern w:val="2"/>
                <w:szCs w:val="24"/>
                <w:lang w:val="zh-CN"/>
              </w:rPr>
              <w:t>3</w:t>
            </w:r>
            <w:r>
              <w:rPr>
                <w:rFonts w:hint="eastAsia"/>
                <w:kern w:val="2"/>
                <w:szCs w:val="24"/>
                <w:lang w:val="zh-CN"/>
              </w:rPr>
              <w:t>年  万元</w:t>
            </w:r>
          </w:p>
        </w:tc>
        <w:tc>
          <w:tcPr>
            <w:tcW w:w="1134" w:type="dxa"/>
            <w:gridSpan w:val="2"/>
            <w:tcBorders>
              <w:top w:val="single" w:color="auto" w:sz="6" w:space="0"/>
              <w:left w:val="single" w:color="auto" w:sz="6" w:space="0"/>
              <w:bottom w:val="single" w:color="auto" w:sz="6" w:space="0"/>
              <w:right w:val="single" w:color="auto" w:sz="6" w:space="0"/>
            </w:tcBorders>
            <w:vAlign w:val="center"/>
          </w:tcPr>
          <w:p w14:paraId="50F1E71A">
            <w:pPr>
              <w:widowControl w:val="0"/>
              <w:autoSpaceDE w:val="0"/>
              <w:autoSpaceDN w:val="0"/>
              <w:adjustRightInd w:val="0"/>
              <w:spacing w:line="320" w:lineRule="exact"/>
              <w:jc w:val="both"/>
              <w:rPr>
                <w:kern w:val="2"/>
                <w:szCs w:val="24"/>
              </w:rPr>
            </w:pPr>
          </w:p>
        </w:tc>
        <w:tc>
          <w:tcPr>
            <w:tcW w:w="3402" w:type="dxa"/>
            <w:gridSpan w:val="2"/>
            <w:tcBorders>
              <w:top w:val="single" w:color="auto" w:sz="6" w:space="0"/>
              <w:left w:val="single" w:color="auto" w:sz="6" w:space="0"/>
              <w:bottom w:val="single" w:color="auto" w:sz="6" w:space="0"/>
              <w:right w:val="single" w:color="auto" w:sz="6" w:space="0"/>
            </w:tcBorders>
            <w:vAlign w:val="center"/>
          </w:tcPr>
          <w:p w14:paraId="3BBA0DA2">
            <w:pPr>
              <w:widowControl w:val="0"/>
              <w:autoSpaceDE w:val="0"/>
              <w:autoSpaceDN w:val="0"/>
              <w:adjustRightInd w:val="0"/>
              <w:spacing w:line="320" w:lineRule="exact"/>
              <w:jc w:val="both"/>
              <w:rPr>
                <w:kern w:val="2"/>
                <w:szCs w:val="24"/>
              </w:rPr>
            </w:pPr>
          </w:p>
        </w:tc>
      </w:tr>
      <w:tr w14:paraId="077C8E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48F2FE1D">
            <w:pPr>
              <w:widowControl w:val="0"/>
              <w:autoSpaceDE w:val="0"/>
              <w:autoSpaceDN w:val="0"/>
              <w:adjustRightInd w:val="0"/>
              <w:spacing w:line="320" w:lineRule="exact"/>
              <w:jc w:val="both"/>
              <w:rPr>
                <w:kern w:val="2"/>
                <w:szCs w:val="24"/>
              </w:rPr>
            </w:pPr>
            <w:r>
              <w:rPr>
                <w:kern w:val="2"/>
                <w:szCs w:val="24"/>
                <w:lang w:val="zh-CN"/>
              </w:rPr>
              <w:t>营业面积（含厂房面积）</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49A14777">
            <w:pPr>
              <w:widowControl w:val="0"/>
              <w:autoSpaceDE w:val="0"/>
              <w:autoSpaceDN w:val="0"/>
              <w:adjustRightInd w:val="0"/>
              <w:spacing w:line="320" w:lineRule="exact"/>
              <w:jc w:val="both"/>
              <w:rPr>
                <w:kern w:val="2"/>
                <w:szCs w:val="24"/>
              </w:rPr>
            </w:pPr>
            <w:r>
              <w:rPr>
                <w:kern w:val="2"/>
                <w:szCs w:val="24"/>
                <w:lang w:val="zh-CN"/>
              </w:rPr>
              <w:t xml:space="preserve">      平方米</w:t>
            </w:r>
          </w:p>
        </w:tc>
        <w:tc>
          <w:tcPr>
            <w:tcW w:w="1134" w:type="dxa"/>
            <w:gridSpan w:val="2"/>
            <w:tcBorders>
              <w:top w:val="single" w:color="auto" w:sz="6" w:space="0"/>
              <w:left w:val="single" w:color="auto" w:sz="6" w:space="0"/>
              <w:bottom w:val="single" w:color="auto" w:sz="6" w:space="0"/>
              <w:right w:val="single" w:color="auto" w:sz="6" w:space="0"/>
            </w:tcBorders>
            <w:vAlign w:val="center"/>
          </w:tcPr>
          <w:p w14:paraId="54ED9C08">
            <w:pPr>
              <w:widowControl w:val="0"/>
              <w:autoSpaceDE w:val="0"/>
              <w:autoSpaceDN w:val="0"/>
              <w:adjustRightInd w:val="0"/>
              <w:spacing w:line="320" w:lineRule="exact"/>
              <w:jc w:val="both"/>
              <w:rPr>
                <w:kern w:val="2"/>
                <w:szCs w:val="24"/>
              </w:rPr>
            </w:pPr>
            <w:r>
              <w:rPr>
                <w:kern w:val="2"/>
                <w:szCs w:val="24"/>
                <w:lang w:val="zh-CN"/>
              </w:rPr>
              <w:t>其中：</w:t>
            </w:r>
          </w:p>
        </w:tc>
        <w:tc>
          <w:tcPr>
            <w:tcW w:w="3402" w:type="dxa"/>
            <w:gridSpan w:val="2"/>
            <w:tcBorders>
              <w:top w:val="single" w:color="auto" w:sz="6" w:space="0"/>
              <w:left w:val="single" w:color="auto" w:sz="6" w:space="0"/>
              <w:bottom w:val="single" w:color="auto" w:sz="6" w:space="0"/>
              <w:right w:val="single" w:color="auto" w:sz="6" w:space="0"/>
            </w:tcBorders>
            <w:vAlign w:val="center"/>
          </w:tcPr>
          <w:p w14:paraId="32B87E4B">
            <w:pPr>
              <w:widowControl w:val="0"/>
              <w:autoSpaceDE w:val="0"/>
              <w:autoSpaceDN w:val="0"/>
              <w:adjustRightInd w:val="0"/>
              <w:spacing w:line="320" w:lineRule="exact"/>
              <w:jc w:val="both"/>
              <w:rPr>
                <w:kern w:val="2"/>
                <w:szCs w:val="24"/>
              </w:rPr>
            </w:pPr>
            <w:r>
              <w:rPr>
                <w:kern w:val="2"/>
                <w:szCs w:val="24"/>
                <w:lang w:val="zh-CN"/>
              </w:rPr>
              <w:t>自有面积         平方米</w:t>
            </w:r>
          </w:p>
          <w:p w14:paraId="469414AB">
            <w:pPr>
              <w:widowControl w:val="0"/>
              <w:autoSpaceDE w:val="0"/>
              <w:autoSpaceDN w:val="0"/>
              <w:adjustRightInd w:val="0"/>
              <w:spacing w:line="320" w:lineRule="exact"/>
              <w:jc w:val="both"/>
              <w:rPr>
                <w:kern w:val="2"/>
                <w:szCs w:val="24"/>
              </w:rPr>
            </w:pPr>
            <w:r>
              <w:rPr>
                <w:kern w:val="2"/>
                <w:szCs w:val="24"/>
                <w:lang w:val="zh-CN"/>
              </w:rPr>
              <w:t>承租面积         平方米</w:t>
            </w:r>
          </w:p>
        </w:tc>
      </w:tr>
      <w:tr w14:paraId="4FA1CC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0DD145B9">
            <w:pPr>
              <w:widowControl w:val="0"/>
              <w:autoSpaceDE w:val="0"/>
              <w:autoSpaceDN w:val="0"/>
              <w:adjustRightInd w:val="0"/>
              <w:spacing w:line="320" w:lineRule="exact"/>
              <w:jc w:val="both"/>
              <w:rPr>
                <w:kern w:val="2"/>
                <w:szCs w:val="24"/>
              </w:rPr>
            </w:pPr>
          </w:p>
          <w:p w14:paraId="271715A2">
            <w:pPr>
              <w:widowControl w:val="0"/>
              <w:autoSpaceDE w:val="0"/>
              <w:autoSpaceDN w:val="0"/>
              <w:adjustRightInd w:val="0"/>
              <w:spacing w:line="320" w:lineRule="exact"/>
              <w:jc w:val="both"/>
              <w:rPr>
                <w:kern w:val="2"/>
                <w:szCs w:val="24"/>
                <w:lang w:val="zh-CN"/>
              </w:rPr>
            </w:pPr>
            <w:r>
              <w:rPr>
                <w:kern w:val="2"/>
                <w:szCs w:val="24"/>
                <w:lang w:val="zh-CN"/>
              </w:rPr>
              <w:t>单位简历及内设机构情况</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705F7EB6">
            <w:pPr>
              <w:widowControl w:val="0"/>
              <w:autoSpaceDE w:val="0"/>
              <w:autoSpaceDN w:val="0"/>
              <w:adjustRightInd w:val="0"/>
              <w:spacing w:line="320" w:lineRule="exact"/>
              <w:jc w:val="both"/>
              <w:rPr>
                <w:kern w:val="2"/>
                <w:szCs w:val="24"/>
              </w:rPr>
            </w:pPr>
          </w:p>
        </w:tc>
      </w:tr>
      <w:tr w14:paraId="1ED3EA9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486A5D75">
            <w:pPr>
              <w:widowControl w:val="0"/>
              <w:autoSpaceDE w:val="0"/>
              <w:autoSpaceDN w:val="0"/>
              <w:adjustRightInd w:val="0"/>
              <w:spacing w:line="320" w:lineRule="exact"/>
              <w:jc w:val="both"/>
              <w:rPr>
                <w:kern w:val="2"/>
                <w:szCs w:val="24"/>
              </w:rPr>
            </w:pPr>
          </w:p>
          <w:p w14:paraId="17D6062E">
            <w:pPr>
              <w:widowControl w:val="0"/>
              <w:autoSpaceDE w:val="0"/>
              <w:autoSpaceDN w:val="0"/>
              <w:adjustRightInd w:val="0"/>
              <w:spacing w:line="320" w:lineRule="exact"/>
              <w:jc w:val="both"/>
              <w:rPr>
                <w:kern w:val="2"/>
                <w:szCs w:val="24"/>
              </w:rPr>
            </w:pPr>
            <w:r>
              <w:rPr>
                <w:kern w:val="2"/>
                <w:szCs w:val="24"/>
                <w:lang w:val="zh-CN"/>
              </w:rPr>
              <w:t>单位优势及特长</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130BFDC8">
            <w:pPr>
              <w:widowControl w:val="0"/>
              <w:autoSpaceDE w:val="0"/>
              <w:autoSpaceDN w:val="0"/>
              <w:adjustRightInd w:val="0"/>
              <w:spacing w:line="320" w:lineRule="exact"/>
              <w:jc w:val="both"/>
              <w:rPr>
                <w:kern w:val="2"/>
                <w:szCs w:val="24"/>
              </w:rPr>
            </w:pPr>
          </w:p>
        </w:tc>
      </w:tr>
      <w:tr w14:paraId="70AB82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42699685">
            <w:pPr>
              <w:widowControl w:val="0"/>
              <w:autoSpaceDE w:val="0"/>
              <w:autoSpaceDN w:val="0"/>
              <w:adjustRightInd w:val="0"/>
              <w:spacing w:line="320" w:lineRule="exact"/>
              <w:jc w:val="both"/>
              <w:rPr>
                <w:kern w:val="2"/>
                <w:szCs w:val="24"/>
              </w:rPr>
            </w:pPr>
            <w:r>
              <w:rPr>
                <w:kern w:val="2"/>
                <w:szCs w:val="24"/>
                <w:lang w:val="zh-CN"/>
              </w:rPr>
              <w:t>近三年来完成或正在履行的重大合同情况</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61A05E80">
            <w:pPr>
              <w:widowControl w:val="0"/>
              <w:autoSpaceDE w:val="0"/>
              <w:autoSpaceDN w:val="0"/>
              <w:adjustRightInd w:val="0"/>
              <w:spacing w:line="320" w:lineRule="exact"/>
              <w:jc w:val="both"/>
              <w:rPr>
                <w:kern w:val="2"/>
                <w:szCs w:val="24"/>
              </w:rPr>
            </w:pPr>
          </w:p>
        </w:tc>
      </w:tr>
      <w:tr w14:paraId="3A7167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02" w:type="dxa"/>
            <w:tcBorders>
              <w:top w:val="single" w:color="auto" w:sz="6" w:space="0"/>
              <w:left w:val="single" w:color="auto" w:sz="6" w:space="0"/>
              <w:bottom w:val="single" w:color="auto" w:sz="6" w:space="0"/>
              <w:right w:val="single" w:color="auto" w:sz="6" w:space="0"/>
            </w:tcBorders>
            <w:vAlign w:val="center"/>
          </w:tcPr>
          <w:p w14:paraId="397DA92A">
            <w:pPr>
              <w:widowControl w:val="0"/>
              <w:autoSpaceDE w:val="0"/>
              <w:autoSpaceDN w:val="0"/>
              <w:adjustRightInd w:val="0"/>
              <w:spacing w:line="320" w:lineRule="exact"/>
              <w:jc w:val="both"/>
              <w:rPr>
                <w:kern w:val="2"/>
                <w:szCs w:val="24"/>
              </w:rPr>
            </w:pPr>
            <w:r>
              <w:rPr>
                <w:kern w:val="2"/>
                <w:szCs w:val="24"/>
                <w:lang w:val="zh-CN"/>
              </w:rPr>
              <w:t>最近2年内在经营过程中受到何种奖励或处分</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1BEEE835">
            <w:pPr>
              <w:widowControl w:val="0"/>
              <w:autoSpaceDE w:val="0"/>
              <w:autoSpaceDN w:val="0"/>
              <w:adjustRightInd w:val="0"/>
              <w:spacing w:line="320" w:lineRule="exact"/>
              <w:jc w:val="both"/>
              <w:rPr>
                <w:kern w:val="2"/>
                <w:szCs w:val="24"/>
              </w:rPr>
            </w:pPr>
            <w:r>
              <w:rPr>
                <w:kern w:val="2"/>
                <w:szCs w:val="24"/>
                <w:lang w:val="zh-CN"/>
              </w:rPr>
              <w:t>（包括财政、工商、税务、物价、技监部门稽查情况和结果）</w:t>
            </w:r>
          </w:p>
        </w:tc>
      </w:tr>
      <w:tr w14:paraId="71BA6A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3402" w:type="dxa"/>
            <w:tcBorders>
              <w:top w:val="single" w:color="auto" w:sz="6" w:space="0"/>
              <w:left w:val="single" w:color="auto" w:sz="6" w:space="0"/>
              <w:bottom w:val="single" w:color="auto" w:sz="6" w:space="0"/>
              <w:right w:val="single" w:color="auto" w:sz="6" w:space="0"/>
            </w:tcBorders>
            <w:vAlign w:val="center"/>
          </w:tcPr>
          <w:p w14:paraId="1BDAAE6D">
            <w:pPr>
              <w:widowControl w:val="0"/>
              <w:autoSpaceDE w:val="0"/>
              <w:autoSpaceDN w:val="0"/>
              <w:adjustRightInd w:val="0"/>
              <w:spacing w:line="320" w:lineRule="exact"/>
              <w:jc w:val="both"/>
              <w:rPr>
                <w:kern w:val="2"/>
                <w:szCs w:val="24"/>
              </w:rPr>
            </w:pPr>
            <w:r>
              <w:rPr>
                <w:kern w:val="2"/>
                <w:szCs w:val="24"/>
                <w:lang w:val="zh-CN"/>
              </w:rPr>
              <w:t>最近3年内有无因售假、售劣或是其他原因被消费者投诉或起诉的情况及说明</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7B6D73FA">
            <w:pPr>
              <w:widowControl w:val="0"/>
              <w:autoSpaceDE w:val="0"/>
              <w:autoSpaceDN w:val="0"/>
              <w:adjustRightInd w:val="0"/>
              <w:spacing w:line="320" w:lineRule="exact"/>
              <w:jc w:val="both"/>
              <w:rPr>
                <w:kern w:val="2"/>
                <w:szCs w:val="24"/>
              </w:rPr>
            </w:pPr>
            <w:r>
              <w:rPr>
                <w:kern w:val="2"/>
                <w:szCs w:val="24"/>
                <w:lang w:val="zh-CN"/>
              </w:rPr>
              <w:t>（包括解决方式和结果）</w:t>
            </w:r>
          </w:p>
        </w:tc>
      </w:tr>
      <w:tr w14:paraId="69EAB9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3402" w:type="dxa"/>
            <w:tcBorders>
              <w:top w:val="single" w:color="auto" w:sz="6" w:space="0"/>
              <w:left w:val="single" w:color="auto" w:sz="6" w:space="0"/>
              <w:bottom w:val="single" w:color="auto" w:sz="6" w:space="0"/>
              <w:right w:val="single" w:color="auto" w:sz="6" w:space="0"/>
            </w:tcBorders>
            <w:vAlign w:val="center"/>
          </w:tcPr>
          <w:p w14:paraId="3D08B0B1">
            <w:pPr>
              <w:widowControl w:val="0"/>
              <w:autoSpaceDE w:val="0"/>
              <w:autoSpaceDN w:val="0"/>
              <w:adjustRightInd w:val="0"/>
              <w:spacing w:line="320" w:lineRule="exact"/>
              <w:jc w:val="both"/>
              <w:rPr>
                <w:kern w:val="2"/>
                <w:szCs w:val="24"/>
              </w:rPr>
            </w:pPr>
            <w:r>
              <w:rPr>
                <w:kern w:val="2"/>
                <w:szCs w:val="24"/>
                <w:lang w:val="zh-CN"/>
              </w:rPr>
              <w:t>最近3年内主要负责人有无因经济犯罪被司法机关追究的情况及说明</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7258D875">
            <w:pPr>
              <w:widowControl w:val="0"/>
              <w:autoSpaceDE w:val="0"/>
              <w:autoSpaceDN w:val="0"/>
              <w:adjustRightInd w:val="0"/>
              <w:spacing w:line="320" w:lineRule="exact"/>
              <w:jc w:val="both"/>
              <w:rPr>
                <w:kern w:val="2"/>
                <w:szCs w:val="24"/>
              </w:rPr>
            </w:pPr>
          </w:p>
        </w:tc>
      </w:tr>
      <w:tr w14:paraId="7F5A722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3402" w:type="dxa"/>
            <w:tcBorders>
              <w:top w:val="single" w:color="auto" w:sz="6" w:space="0"/>
              <w:left w:val="single" w:color="auto" w:sz="6" w:space="0"/>
              <w:bottom w:val="single" w:color="auto" w:sz="6" w:space="0"/>
              <w:right w:val="single" w:color="auto" w:sz="6" w:space="0"/>
            </w:tcBorders>
            <w:vAlign w:val="center"/>
          </w:tcPr>
          <w:p w14:paraId="26A68A8E">
            <w:pPr>
              <w:widowControl w:val="0"/>
              <w:autoSpaceDE w:val="0"/>
              <w:autoSpaceDN w:val="0"/>
              <w:adjustRightInd w:val="0"/>
              <w:spacing w:line="320" w:lineRule="exact"/>
              <w:jc w:val="both"/>
              <w:rPr>
                <w:kern w:val="2"/>
                <w:szCs w:val="24"/>
              </w:rPr>
            </w:pPr>
            <w:r>
              <w:rPr>
                <w:kern w:val="2"/>
                <w:szCs w:val="24"/>
                <w:lang w:val="zh-CN"/>
              </w:rPr>
              <w:t>获得技术认证的工程师及简介</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5BF0E417">
            <w:pPr>
              <w:widowControl w:val="0"/>
              <w:autoSpaceDE w:val="0"/>
              <w:autoSpaceDN w:val="0"/>
              <w:adjustRightInd w:val="0"/>
              <w:spacing w:line="320" w:lineRule="exact"/>
              <w:jc w:val="both"/>
              <w:rPr>
                <w:kern w:val="2"/>
                <w:szCs w:val="24"/>
              </w:rPr>
            </w:pPr>
          </w:p>
        </w:tc>
      </w:tr>
      <w:tr w14:paraId="38CC701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402" w:type="dxa"/>
            <w:tcBorders>
              <w:top w:val="single" w:color="auto" w:sz="6" w:space="0"/>
              <w:left w:val="single" w:color="auto" w:sz="6" w:space="0"/>
              <w:bottom w:val="single" w:color="auto" w:sz="6" w:space="0"/>
              <w:right w:val="single" w:color="auto" w:sz="6" w:space="0"/>
            </w:tcBorders>
            <w:vAlign w:val="center"/>
          </w:tcPr>
          <w:p w14:paraId="35CA652B">
            <w:pPr>
              <w:widowControl w:val="0"/>
              <w:autoSpaceDE w:val="0"/>
              <w:autoSpaceDN w:val="0"/>
              <w:adjustRightInd w:val="0"/>
              <w:spacing w:line="320" w:lineRule="exact"/>
              <w:jc w:val="both"/>
              <w:rPr>
                <w:kern w:val="2"/>
                <w:szCs w:val="24"/>
              </w:rPr>
            </w:pPr>
            <w:r>
              <w:rPr>
                <w:kern w:val="2"/>
                <w:szCs w:val="24"/>
                <w:lang w:val="zh-CN"/>
              </w:rPr>
              <w:t>其他需要说明的情况</w:t>
            </w:r>
          </w:p>
        </w:tc>
        <w:tc>
          <w:tcPr>
            <w:tcW w:w="6096" w:type="dxa"/>
            <w:gridSpan w:val="6"/>
            <w:tcBorders>
              <w:top w:val="single" w:color="auto" w:sz="6" w:space="0"/>
              <w:left w:val="single" w:color="auto" w:sz="6" w:space="0"/>
              <w:bottom w:val="single" w:color="auto" w:sz="6" w:space="0"/>
              <w:right w:val="single" w:color="auto" w:sz="6" w:space="0"/>
            </w:tcBorders>
            <w:vAlign w:val="center"/>
          </w:tcPr>
          <w:p w14:paraId="562D0E77">
            <w:pPr>
              <w:widowControl w:val="0"/>
              <w:autoSpaceDE w:val="0"/>
              <w:autoSpaceDN w:val="0"/>
              <w:adjustRightInd w:val="0"/>
              <w:spacing w:line="320" w:lineRule="exact"/>
              <w:jc w:val="both"/>
              <w:rPr>
                <w:kern w:val="2"/>
                <w:szCs w:val="24"/>
              </w:rPr>
            </w:pPr>
          </w:p>
        </w:tc>
      </w:tr>
    </w:tbl>
    <w:p w14:paraId="34FBCA35">
      <w:pPr>
        <w:pStyle w:val="9"/>
        <w:overflowPunct w:val="0"/>
        <w:spacing w:line="360" w:lineRule="auto"/>
        <w:ind w:firstLine="0"/>
        <w:rPr>
          <w:rFonts w:ascii="宋体" w:hAnsi="宋体" w:eastAsia="宋体"/>
          <w:b/>
          <w:szCs w:val="24"/>
        </w:rPr>
      </w:pPr>
      <w:r>
        <w:rPr>
          <w:rFonts w:hint="eastAsia" w:ascii="宋体" w:hAnsi="宋体" w:eastAsia="宋体"/>
          <w:bCs/>
          <w:szCs w:val="24"/>
        </w:rPr>
        <w:t>投标单位（单位盖章）</w:t>
      </w:r>
      <w:r>
        <w:rPr>
          <w:rFonts w:hint="eastAsia" w:ascii="宋体" w:hAnsi="宋体" w:eastAsia="宋体"/>
          <w:b/>
          <w:szCs w:val="24"/>
        </w:rPr>
        <w:t>：</w:t>
      </w:r>
    </w:p>
    <w:p w14:paraId="5056C2A3">
      <w:pPr>
        <w:pStyle w:val="9"/>
        <w:overflowPunct w:val="0"/>
        <w:spacing w:line="360" w:lineRule="auto"/>
        <w:ind w:firstLine="0"/>
        <w:rPr>
          <w:rFonts w:ascii="宋体" w:hAnsi="宋体" w:eastAsia="宋体"/>
          <w:bCs/>
          <w:szCs w:val="24"/>
        </w:rPr>
      </w:pPr>
      <w:r>
        <w:rPr>
          <w:rFonts w:hint="eastAsia" w:ascii="宋体" w:hAnsi="宋体" w:eastAsia="宋体"/>
          <w:bCs/>
          <w:szCs w:val="24"/>
        </w:rPr>
        <w:t>法定代表人或其授权人（签字或盖章）：</w:t>
      </w:r>
    </w:p>
    <w:p w14:paraId="6EFAF44A">
      <w:pPr>
        <w:pStyle w:val="9"/>
        <w:overflowPunct w:val="0"/>
        <w:spacing w:line="360" w:lineRule="auto"/>
        <w:ind w:firstLine="0"/>
        <w:rPr>
          <w:rFonts w:ascii="宋体" w:hAnsi="宋体" w:eastAsia="宋体"/>
          <w:bCs/>
          <w:szCs w:val="24"/>
        </w:rPr>
      </w:pPr>
      <w:r>
        <w:rPr>
          <w:rFonts w:hint="eastAsia" w:hAnsi="宋体" w:eastAsia="宋体"/>
          <w:szCs w:val="24"/>
        </w:rPr>
        <w:t>日期：</w:t>
      </w:r>
      <w:r>
        <w:rPr>
          <w:rFonts w:hint="eastAsia" w:ascii="宋体" w:hAnsi="宋体" w:eastAsia="宋体"/>
          <w:bCs/>
          <w:szCs w:val="24"/>
        </w:rPr>
        <w:t>年月日</w:t>
      </w:r>
    </w:p>
    <w:p w14:paraId="5CAD3FD0">
      <w:pPr>
        <w:pStyle w:val="9"/>
        <w:overflowPunct w:val="0"/>
        <w:spacing w:line="360" w:lineRule="auto"/>
        <w:ind w:firstLine="0"/>
        <w:rPr>
          <w:rFonts w:ascii="宋体" w:hAnsi="宋体" w:eastAsia="宋体"/>
          <w:bCs/>
          <w:szCs w:val="24"/>
        </w:rPr>
      </w:pPr>
    </w:p>
    <w:p w14:paraId="28A457A2">
      <w:pPr>
        <w:spacing w:line="360" w:lineRule="auto"/>
        <w:jc w:val="center"/>
        <w:rPr>
          <w:b/>
          <w:bCs/>
          <w:kern w:val="2"/>
          <w:szCs w:val="24"/>
          <w:lang w:val="zh-CN"/>
        </w:rPr>
      </w:pPr>
    </w:p>
    <w:p w14:paraId="2A3E4F6F">
      <w:pPr>
        <w:spacing w:line="360" w:lineRule="auto"/>
        <w:jc w:val="center"/>
        <w:rPr>
          <w:b/>
          <w:bCs/>
          <w:kern w:val="2"/>
          <w:szCs w:val="24"/>
          <w:lang w:val="zh-CN"/>
        </w:rPr>
      </w:pPr>
    </w:p>
    <w:p w14:paraId="4AAF869B">
      <w:pPr>
        <w:spacing w:line="360" w:lineRule="auto"/>
        <w:jc w:val="center"/>
        <w:rPr>
          <w:b/>
          <w:bCs/>
          <w:kern w:val="2"/>
          <w:szCs w:val="24"/>
          <w:lang w:val="zh-CN"/>
        </w:rPr>
      </w:pPr>
    </w:p>
    <w:p w14:paraId="119A3585">
      <w:pPr>
        <w:spacing w:line="360" w:lineRule="auto"/>
        <w:jc w:val="center"/>
        <w:rPr>
          <w:b/>
          <w:bCs/>
          <w:kern w:val="2"/>
          <w:szCs w:val="24"/>
          <w:lang w:val="zh-CN"/>
        </w:rPr>
      </w:pPr>
    </w:p>
    <w:p w14:paraId="22998A6B">
      <w:pPr>
        <w:spacing w:line="360" w:lineRule="auto"/>
        <w:jc w:val="center"/>
        <w:rPr>
          <w:b/>
          <w:bCs/>
          <w:kern w:val="2"/>
          <w:szCs w:val="24"/>
          <w:lang w:val="zh-CN"/>
        </w:rPr>
      </w:pPr>
    </w:p>
    <w:p w14:paraId="59DD9B72">
      <w:pPr>
        <w:spacing w:line="360" w:lineRule="auto"/>
        <w:jc w:val="center"/>
        <w:rPr>
          <w:b/>
          <w:bCs/>
          <w:kern w:val="2"/>
          <w:szCs w:val="24"/>
          <w:lang w:val="zh-CN"/>
        </w:rPr>
      </w:pPr>
    </w:p>
    <w:p w14:paraId="4D659458">
      <w:pPr>
        <w:spacing w:line="360" w:lineRule="auto"/>
        <w:jc w:val="center"/>
        <w:rPr>
          <w:b/>
          <w:bCs/>
          <w:kern w:val="2"/>
          <w:szCs w:val="24"/>
          <w:lang w:val="zh-CN"/>
        </w:rPr>
      </w:pPr>
    </w:p>
    <w:p w14:paraId="42420660">
      <w:pPr>
        <w:pStyle w:val="2"/>
      </w:pPr>
    </w:p>
    <w:p w14:paraId="6932AE6B">
      <w:pPr>
        <w:pStyle w:val="2"/>
      </w:pPr>
    </w:p>
    <w:p w14:paraId="2EA25B79">
      <w:pPr>
        <w:pStyle w:val="2"/>
      </w:pPr>
    </w:p>
    <w:p w14:paraId="4B32A70C">
      <w:pPr>
        <w:pStyle w:val="2"/>
      </w:pPr>
    </w:p>
    <w:p w14:paraId="3377D0C5">
      <w:pPr>
        <w:pStyle w:val="2"/>
      </w:pPr>
    </w:p>
    <w:p w14:paraId="232F0396">
      <w:pPr>
        <w:pStyle w:val="2"/>
      </w:pPr>
    </w:p>
    <w:p w14:paraId="58121B41">
      <w:pPr>
        <w:pStyle w:val="2"/>
      </w:pPr>
    </w:p>
    <w:p w14:paraId="3050D008">
      <w:pPr>
        <w:pStyle w:val="2"/>
      </w:pPr>
    </w:p>
    <w:p w14:paraId="1C537738">
      <w:pPr>
        <w:pStyle w:val="2"/>
      </w:pPr>
    </w:p>
    <w:p w14:paraId="72AE9BC0">
      <w:pPr>
        <w:pStyle w:val="2"/>
      </w:pPr>
    </w:p>
    <w:p w14:paraId="23BA1B63">
      <w:pPr>
        <w:pStyle w:val="2"/>
      </w:pPr>
    </w:p>
    <w:p w14:paraId="23F9BE04">
      <w:pPr>
        <w:pStyle w:val="2"/>
      </w:pPr>
    </w:p>
    <w:p w14:paraId="291A6D09">
      <w:pPr>
        <w:pStyle w:val="2"/>
      </w:pPr>
    </w:p>
    <w:p w14:paraId="083D5BA9">
      <w:pPr>
        <w:spacing w:line="360" w:lineRule="auto"/>
        <w:jc w:val="center"/>
        <w:rPr>
          <w:b/>
          <w:bCs/>
          <w:kern w:val="2"/>
          <w:szCs w:val="24"/>
          <w:lang w:val="zh-CN"/>
        </w:rPr>
      </w:pPr>
    </w:p>
    <w:p w14:paraId="3C4EA340">
      <w:pPr>
        <w:spacing w:line="360" w:lineRule="auto"/>
        <w:rPr>
          <w:b/>
          <w:bCs/>
          <w:kern w:val="2"/>
          <w:szCs w:val="24"/>
          <w:lang w:val="zh-CN"/>
        </w:rPr>
      </w:pPr>
    </w:p>
    <w:p w14:paraId="7D8C5ABA">
      <w:pPr>
        <w:spacing w:line="360" w:lineRule="auto"/>
        <w:jc w:val="center"/>
        <w:rPr>
          <w:spacing w:val="20"/>
        </w:rPr>
      </w:pPr>
      <w:r>
        <w:rPr>
          <w:rFonts w:eastAsia="黑体"/>
          <w:b/>
          <w:bCs/>
          <w:spacing w:val="20"/>
          <w:sz w:val="30"/>
        </w:rPr>
        <w:t>第</w:t>
      </w:r>
      <w:r>
        <w:rPr>
          <w:rFonts w:hint="eastAsia" w:eastAsia="黑体"/>
          <w:b/>
          <w:bCs/>
          <w:spacing w:val="20"/>
          <w:sz w:val="30"/>
        </w:rPr>
        <w:t>四</w:t>
      </w:r>
      <w:r>
        <w:rPr>
          <w:rFonts w:eastAsia="黑体"/>
          <w:b/>
          <w:bCs/>
          <w:spacing w:val="20"/>
          <w:sz w:val="30"/>
        </w:rPr>
        <w:t>章  招标书</w:t>
      </w:r>
    </w:p>
    <w:p w14:paraId="7807A778">
      <w:pPr>
        <w:widowControl w:val="0"/>
        <w:spacing w:line="360" w:lineRule="auto"/>
        <w:ind w:firstLine="480" w:firstLineChars="200"/>
        <w:jc w:val="both"/>
        <w:rPr>
          <w:szCs w:val="24"/>
        </w:rPr>
      </w:pPr>
      <w:r>
        <w:rPr>
          <w:szCs w:val="24"/>
        </w:rPr>
        <w:t>受苏州燃气集团有限责任公司之委托，苏州市永诚建设咨询有限公司作为招标代理机构，对其</w:t>
      </w:r>
      <w:r>
        <w:rPr>
          <w:rFonts w:hint="eastAsia"/>
          <w:szCs w:val="24"/>
        </w:rPr>
        <w:t>2024-2025年度天然气管道维抢修</w:t>
      </w:r>
      <w:r>
        <w:rPr>
          <w:szCs w:val="24"/>
        </w:rPr>
        <w:t>进行国内公开招标。欢迎符合资格条件的供应商前来报名参加投标。</w:t>
      </w:r>
    </w:p>
    <w:p w14:paraId="3A482A4F">
      <w:pPr>
        <w:widowControl w:val="0"/>
        <w:spacing w:line="360" w:lineRule="auto"/>
        <w:ind w:firstLine="480" w:firstLineChars="200"/>
        <w:jc w:val="both"/>
        <w:rPr>
          <w:szCs w:val="24"/>
        </w:rPr>
      </w:pPr>
      <w:r>
        <w:rPr>
          <w:rFonts w:hint="eastAsia"/>
          <w:szCs w:val="24"/>
        </w:rPr>
        <w:t>一、</w:t>
      </w:r>
      <w:r>
        <w:rPr>
          <w:szCs w:val="24"/>
        </w:rPr>
        <w:t>招标编号：SZYCZX2024-RQ-G-007号</w:t>
      </w:r>
    </w:p>
    <w:p w14:paraId="57399D16">
      <w:pPr>
        <w:widowControl w:val="0"/>
        <w:spacing w:line="360" w:lineRule="auto"/>
        <w:ind w:firstLine="480" w:firstLineChars="200"/>
        <w:jc w:val="both"/>
        <w:rPr>
          <w:szCs w:val="24"/>
        </w:rPr>
      </w:pPr>
      <w:r>
        <w:rPr>
          <w:rFonts w:hint="eastAsia"/>
          <w:szCs w:val="24"/>
        </w:rPr>
        <w:t>二、项目名称：2024-2025年度天然气管道维抢修</w:t>
      </w:r>
    </w:p>
    <w:p w14:paraId="5F9DBB35">
      <w:pPr>
        <w:widowControl w:val="0"/>
        <w:spacing w:line="360" w:lineRule="auto"/>
        <w:ind w:firstLine="480" w:firstLineChars="200"/>
        <w:jc w:val="both"/>
        <w:rPr>
          <w:szCs w:val="24"/>
        </w:rPr>
      </w:pPr>
      <w:r>
        <w:rPr>
          <w:rFonts w:hint="eastAsia"/>
          <w:szCs w:val="24"/>
        </w:rPr>
        <w:t>三、服务范围及要求：</w:t>
      </w:r>
    </w:p>
    <w:p w14:paraId="3EA6D136">
      <w:pPr>
        <w:pStyle w:val="2"/>
        <w:spacing w:line="360" w:lineRule="auto"/>
        <w:ind w:firstLine="600" w:firstLineChars="250"/>
        <w:rPr>
          <w:szCs w:val="24"/>
          <w:lang w:val="en-US"/>
        </w:rPr>
      </w:pPr>
      <w:r>
        <w:rPr>
          <w:szCs w:val="24"/>
        </w:rPr>
        <w:t>苏州燃气集团有限责任公司</w:t>
      </w:r>
      <w:r>
        <w:rPr>
          <w:rFonts w:hint="eastAsia"/>
          <w:szCs w:val="24"/>
          <w:lang w:val="en-US"/>
        </w:rPr>
        <w:t>所属范围内所有高中低压管网，包含高压板块高压管线约300公里、场站23个、阀室17个、阀井6座；中低压板块中压管线约400公里、低压管线约2680公里、阀井2289座、燃气调压器1238台；以及将来增加的天然气管道、场站、阀室、阀井的维抢修服务。</w:t>
      </w:r>
    </w:p>
    <w:p w14:paraId="64DDCABC">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1、中标单位与采购单位合同签订之日起十日内组建一支人员固定、业务熟练、有较强施工经验的队伍以满足24小时服务需求，其中人员配备：</w:t>
      </w:r>
    </w:p>
    <w:p w14:paraId="2C633F3F">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施工队长1人：男性，身体健康，年龄在25〜55岁，应具有</w:t>
      </w:r>
      <w:r>
        <w:rPr>
          <w:rFonts w:hint="eastAsia" w:ascii="宋体" w:hAnsi="宋体" w:cs="宋体"/>
          <w:color w:val="000000" w:themeColor="text1"/>
          <w14:textFill>
            <w14:solidFill>
              <w14:schemeClr w14:val="tx1"/>
            </w14:solidFill>
          </w14:textFill>
        </w:rPr>
        <w:t>三年以上天然气管道施工</w:t>
      </w:r>
      <w:r>
        <w:rPr>
          <w:rFonts w:hint="eastAsia"/>
          <w:color w:val="000000" w:themeColor="text1"/>
          <w:lang w:val="en-US"/>
          <w14:textFill>
            <w14:solidFill>
              <w14:schemeClr w14:val="tx1"/>
            </w14:solidFill>
          </w14:textFill>
        </w:rPr>
        <w:t>管理经验。（负责接收甲方指令，安排协调维抢修人员，和甲方制定维抢修方案等）</w:t>
      </w:r>
    </w:p>
    <w:p w14:paraId="7ECC18AB">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抢修车司机2人：男性，身体健康，年龄在25〜55岁（负责安全的人员运送，材料领取）</w:t>
      </w:r>
    </w:p>
    <w:p w14:paraId="6803E520">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辅助工5-8人：男性，身体健康，年龄在55岁以下（负责土方开挖，材料准备，设备保养，配合管工焊工）</w:t>
      </w:r>
    </w:p>
    <w:p w14:paraId="1E3ACD81">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管工3人：男性，身体健康，年龄在</w:t>
      </w:r>
      <w:r>
        <w:rPr>
          <w:color w:val="000000" w:themeColor="text1"/>
          <w:lang w:val="en-US"/>
          <w14:textFill>
            <w14:solidFill>
              <w14:schemeClr w14:val="tx1"/>
            </w14:solidFill>
          </w14:textFill>
        </w:rPr>
        <w:t>25</w:t>
      </w:r>
      <w:r>
        <w:rPr>
          <w:rFonts w:hint="eastAsia" w:ascii="MS Mincho" w:hAnsi="MS Mincho" w:eastAsia="MS Mincho" w:cs="MS Mincho"/>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55岁，</w:t>
      </w:r>
      <w:r>
        <w:rPr>
          <w:rFonts w:hint="eastAsia" w:ascii="宋体" w:hAnsi="宋体" w:cs="宋体"/>
          <w:color w:val="000000" w:themeColor="text1"/>
          <w14:textFill>
            <w14:solidFill>
              <w14:schemeClr w14:val="tx1"/>
            </w14:solidFill>
          </w14:textFill>
        </w:rPr>
        <w:t>应具有</w:t>
      </w:r>
      <w:r>
        <w:rPr>
          <w:rFonts w:hint="eastAsia"/>
          <w:color w:val="000000" w:themeColor="text1"/>
          <w:lang w:val="en-US"/>
          <w14:textFill>
            <w14:solidFill>
              <w14:schemeClr w14:val="tx1"/>
            </w14:solidFill>
          </w14:textFill>
        </w:rPr>
        <w:t>三年以上天然气管网维护经验。（负责维抢修任务的前期准备工作，现场辅助工调配，施工过程中焊口质量把控）</w:t>
      </w:r>
    </w:p>
    <w:p w14:paraId="707B515C">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钢管焊工2人：男性，身体健康，年龄在</w:t>
      </w:r>
      <w:r>
        <w:rPr>
          <w:color w:val="000000" w:themeColor="text1"/>
          <w:lang w:val="en-US"/>
          <w14:textFill>
            <w14:solidFill>
              <w14:schemeClr w14:val="tx1"/>
            </w14:solidFill>
          </w14:textFill>
        </w:rPr>
        <w:t>25</w:t>
      </w:r>
      <w:r>
        <w:rPr>
          <w:rFonts w:hint="eastAsia" w:ascii="MS Mincho" w:hAnsi="MS Mincho" w:eastAsia="MS Mincho" w:cs="MS Mincho"/>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55岁，</w:t>
      </w:r>
      <w:r>
        <w:rPr>
          <w:rFonts w:hint="eastAsia" w:ascii="宋体" w:hAnsi="宋体" w:cs="宋体"/>
          <w:color w:val="000000" w:themeColor="text1"/>
          <w14:textFill>
            <w14:solidFill>
              <w14:schemeClr w14:val="tx1"/>
            </w14:solidFill>
          </w14:textFill>
        </w:rPr>
        <w:t>应具有</w:t>
      </w:r>
      <w:r>
        <w:rPr>
          <w:rFonts w:hint="eastAsia"/>
          <w:color w:val="000000" w:themeColor="text1"/>
          <w:lang w:val="en-US"/>
          <w14:textFill>
            <w14:solidFill>
              <w14:schemeClr w14:val="tx1"/>
            </w14:solidFill>
          </w14:textFill>
        </w:rPr>
        <w:t>三年以上天然气管道焊接经验，且持有手工电弧下向焊根焊焊接证件。（带证上岗，保质保量，保证效率完成管工组对的钢管焊口焊接）</w:t>
      </w:r>
    </w:p>
    <w:p w14:paraId="7AA10740">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PE管焊工1人：</w:t>
      </w:r>
      <w:r>
        <w:rPr>
          <w:rFonts w:hint="eastAsia" w:ascii="宋体" w:hAnsi="宋体" w:cs="宋体"/>
          <w:color w:val="000000" w:themeColor="text1"/>
          <w14:textFill>
            <w14:solidFill>
              <w14:schemeClr w14:val="tx1"/>
            </w14:solidFill>
          </w14:textFill>
        </w:rPr>
        <w:t>男性，身</w:t>
      </w:r>
      <w:r>
        <w:rPr>
          <w:rFonts w:hint="eastAsia"/>
          <w:color w:val="000000" w:themeColor="text1"/>
          <w:lang w:val="en-US"/>
          <w14:textFill>
            <w14:solidFill>
              <w14:schemeClr w14:val="tx1"/>
            </w14:solidFill>
          </w14:textFill>
        </w:rPr>
        <w:t>体健康，年龄在25〜55岁，应具有</w:t>
      </w:r>
      <w:r>
        <w:rPr>
          <w:rFonts w:hint="eastAsia" w:ascii="宋体" w:hAnsi="宋体" w:cs="宋体"/>
          <w:color w:val="000000" w:themeColor="text1"/>
          <w14:textFill>
            <w14:solidFill>
              <w14:schemeClr w14:val="tx1"/>
            </w14:solidFill>
          </w14:textFill>
        </w:rPr>
        <w:t>三年以上</w:t>
      </w:r>
      <w:r>
        <w:rPr>
          <w:rFonts w:hint="eastAsia" w:ascii="宋体" w:hAnsi="宋体" w:cs="宋体"/>
          <w:color w:val="000000" w:themeColor="text1"/>
          <w:lang w:val="en-US"/>
          <w14:textFill>
            <w14:solidFill>
              <w14:schemeClr w14:val="tx1"/>
            </w14:solidFill>
          </w14:textFill>
        </w:rPr>
        <w:t>PE</w:t>
      </w:r>
      <w:r>
        <w:rPr>
          <w:rFonts w:hint="eastAsia" w:ascii="宋体" w:hAnsi="宋体" w:cs="宋体"/>
          <w:color w:val="000000" w:themeColor="text1"/>
          <w14:textFill>
            <w14:solidFill>
              <w14:schemeClr w14:val="tx1"/>
            </w14:solidFill>
          </w14:textFill>
        </w:rPr>
        <w:t>管道焊接经验，</w:t>
      </w:r>
      <w:r>
        <w:rPr>
          <w:rFonts w:hint="eastAsia" w:ascii="宋体" w:hAnsi="宋体" w:cs="宋体"/>
          <w:color w:val="000000" w:themeColor="text1"/>
          <w:lang w:val="en-US"/>
          <w14:textFill>
            <w14:solidFill>
              <w14:schemeClr w14:val="tx1"/>
            </w14:solidFill>
          </w14:textFill>
        </w:rPr>
        <w:t>且持有PE焊焊工证</w:t>
      </w:r>
      <w:r>
        <w:rPr>
          <w:rFonts w:hint="eastAsia" w:ascii="宋体" w:hAnsi="宋体" w:cs="宋体"/>
          <w:color w:val="000000" w:themeColor="text1"/>
          <w14:textFill>
            <w14:solidFill>
              <w14:schemeClr w14:val="tx1"/>
            </w14:solidFill>
          </w14:textFill>
        </w:rPr>
        <w:t>。（带证上岗，保质保量，保证效率完成管工组对的PE管焊口焊接）</w:t>
      </w:r>
    </w:p>
    <w:p w14:paraId="659DE655">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2、需要配备的设备：</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55"/>
        <w:gridCol w:w="2040"/>
        <w:gridCol w:w="3136"/>
        <w:gridCol w:w="1559"/>
        <w:gridCol w:w="1410"/>
      </w:tblGrid>
      <w:tr w14:paraId="43F3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1AD28B75">
            <w:pPr>
              <w:pStyle w:val="297"/>
              <w:shd w:val="clear" w:color="auto" w:fill="auto"/>
              <w:spacing w:after="60"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序号</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089E9319">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设备名称</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01DCB4B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型号及规格</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51D5B324">
            <w:pPr>
              <w:pStyle w:val="297"/>
              <w:shd w:val="clear" w:color="auto" w:fill="auto"/>
              <w:spacing w:after="200"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数量</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30047196">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备注</w:t>
            </w:r>
          </w:p>
        </w:tc>
      </w:tr>
      <w:tr w14:paraId="76E8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3836684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3DAC8E52">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工程抢险车</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6A5E0A9E">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双排货车</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257EFAB7">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B3FAF36">
            <w:pPr>
              <w:widowControl w:val="0"/>
              <w:jc w:val="center"/>
              <w:rPr>
                <w:color w:val="000000" w:themeColor="text1"/>
                <w14:textFill>
                  <w14:solidFill>
                    <w14:schemeClr w14:val="tx1"/>
                  </w14:solidFill>
                </w14:textFill>
              </w:rPr>
            </w:pPr>
          </w:p>
        </w:tc>
      </w:tr>
      <w:tr w14:paraId="52B6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33F5AC57">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293AC7C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焊机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27484664">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奥太或同等级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70DAD518">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3</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2E46857">
            <w:pPr>
              <w:widowControl w:val="0"/>
              <w:jc w:val="center"/>
              <w:rPr>
                <w:color w:val="000000" w:themeColor="text1"/>
                <w14:textFill>
                  <w14:solidFill>
                    <w14:schemeClr w14:val="tx1"/>
                  </w14:solidFill>
                </w14:textFill>
              </w:rPr>
            </w:pPr>
          </w:p>
        </w:tc>
      </w:tr>
      <w:tr w14:paraId="162F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0F20A58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3</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145E2636">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柴油发电机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15AB599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50KW或以上</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0B1461B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07EA85FC">
            <w:pPr>
              <w:widowControl w:val="0"/>
              <w:jc w:val="center"/>
              <w:rPr>
                <w:color w:val="000000" w:themeColor="text1"/>
                <w14:textFill>
                  <w14:solidFill>
                    <w14:schemeClr w14:val="tx1"/>
                  </w14:solidFill>
                </w14:textFill>
              </w:rPr>
            </w:pPr>
          </w:p>
        </w:tc>
      </w:tr>
      <w:tr w14:paraId="459D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091B7583">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4</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06800194">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汽油发电机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1846F41B">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EG1800X或同等级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0212AD3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52ABD95B">
            <w:pPr>
              <w:widowControl w:val="0"/>
              <w:jc w:val="center"/>
              <w:rPr>
                <w:color w:val="000000" w:themeColor="text1"/>
                <w14:textFill>
                  <w14:solidFill>
                    <w14:schemeClr w14:val="tx1"/>
                  </w14:solidFill>
                </w14:textFill>
              </w:rPr>
            </w:pPr>
          </w:p>
        </w:tc>
      </w:tr>
      <w:tr w14:paraId="7295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21EAF8B5">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5</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1DBF0C2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管道切割机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78CC1CC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电动或液压一台</w:t>
            </w:r>
          </w:p>
          <w:p w14:paraId="0AB9CF1C">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手动一台</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06909E62">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5DA1D68F">
            <w:pPr>
              <w:widowControl w:val="0"/>
              <w:jc w:val="center"/>
              <w:rPr>
                <w:color w:val="000000" w:themeColor="text1"/>
                <w14:textFill>
                  <w14:solidFill>
                    <w14:schemeClr w14:val="tx1"/>
                  </w14:solidFill>
                </w14:textFill>
              </w:rPr>
            </w:pPr>
          </w:p>
        </w:tc>
      </w:tr>
      <w:tr w14:paraId="0F92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21F6041A">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6</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16B4789B">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路面切割机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0E3E7880">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LP300 5000J或同等级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C1AECD5">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3ABBC03">
            <w:pPr>
              <w:widowControl w:val="0"/>
              <w:jc w:val="center"/>
              <w:rPr>
                <w:color w:val="000000" w:themeColor="text1"/>
                <w14:textFill>
                  <w14:solidFill>
                    <w14:schemeClr w14:val="tx1"/>
                  </w14:solidFill>
                </w14:textFill>
              </w:rPr>
            </w:pPr>
          </w:p>
        </w:tc>
      </w:tr>
      <w:tr w14:paraId="2ED0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48BBF6F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7</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7E930E1A">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空气压缩机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3A0739DF">
            <w:pPr>
              <w:pStyle w:val="297"/>
              <w:spacing w:after="220"/>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BH-12/7 滑片式</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12CBAFB4">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27D6D444">
            <w:pPr>
              <w:widowControl w:val="0"/>
              <w:jc w:val="center"/>
              <w:rPr>
                <w:color w:val="000000" w:themeColor="text1"/>
                <w14:textFill>
                  <w14:solidFill>
                    <w14:schemeClr w14:val="tx1"/>
                  </w14:solidFill>
                </w14:textFill>
              </w:rPr>
            </w:pPr>
          </w:p>
        </w:tc>
      </w:tr>
      <w:tr w14:paraId="53E1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5EAA3E3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8</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178D6D16">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电动套丝机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4D3E822F">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DN50以下</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798D2484">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290F1CA">
            <w:pPr>
              <w:widowControl w:val="0"/>
              <w:jc w:val="center"/>
              <w:rPr>
                <w:color w:val="000000" w:themeColor="text1"/>
                <w14:textFill>
                  <w14:solidFill>
                    <w14:schemeClr w14:val="tx1"/>
                  </w14:solidFill>
                </w14:textFill>
              </w:rPr>
            </w:pPr>
          </w:p>
        </w:tc>
      </w:tr>
      <w:tr w14:paraId="558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228093D3">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9</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19B8A41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套丝机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2681B271">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DN80-100</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18156B7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7888DF5A">
            <w:pPr>
              <w:widowControl w:val="0"/>
              <w:jc w:val="center"/>
              <w:rPr>
                <w:color w:val="000000" w:themeColor="text1"/>
                <w14:textFill>
                  <w14:solidFill>
                    <w14:schemeClr w14:val="tx1"/>
                  </w14:solidFill>
                </w14:textFill>
              </w:rPr>
            </w:pPr>
          </w:p>
        </w:tc>
      </w:tr>
      <w:tr w14:paraId="3A70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70FA519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10</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354E2862">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可燃气体检测仪</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6F9779C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XP-311A</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5850ADE8">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3</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661870C4">
            <w:pPr>
              <w:widowControl w:val="0"/>
              <w:jc w:val="center"/>
              <w:rPr>
                <w:color w:val="000000" w:themeColor="text1"/>
                <w14:textFill>
                  <w14:solidFill>
                    <w14:schemeClr w14:val="tx1"/>
                  </w14:solidFill>
                </w14:textFill>
              </w:rPr>
            </w:pPr>
          </w:p>
        </w:tc>
      </w:tr>
      <w:tr w14:paraId="5127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00AD094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11</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5570D750">
            <w:pPr>
              <w:pStyle w:val="297"/>
              <w:shd w:val="clear" w:color="auto" w:fill="auto"/>
              <w:spacing w:after="200"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全自动热熔焊机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0B978EC8">
            <w:pPr>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BZHXQ400或同等级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1C39A83B">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5C2840FB">
            <w:pPr>
              <w:widowControl w:val="0"/>
              <w:jc w:val="center"/>
              <w:rPr>
                <w:color w:val="000000" w:themeColor="text1"/>
                <w14:textFill>
                  <w14:solidFill>
                    <w14:schemeClr w14:val="tx1"/>
                  </w14:solidFill>
                </w14:textFill>
              </w:rPr>
            </w:pPr>
          </w:p>
        </w:tc>
      </w:tr>
      <w:tr w14:paraId="2065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12043C50">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12</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2A7FAD2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电熔焊机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378C06CA">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ELECTROFUSION或同等级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BAFA69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26264367">
            <w:pPr>
              <w:jc w:val="center"/>
              <w:rPr>
                <w:color w:val="000000" w:themeColor="text1"/>
                <w14:textFill>
                  <w14:solidFill>
                    <w14:schemeClr w14:val="tx1"/>
                  </w14:solidFill>
                </w14:textFill>
              </w:rPr>
            </w:pPr>
          </w:p>
        </w:tc>
      </w:tr>
      <w:tr w14:paraId="225B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1FFB5C98">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13</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6D045456">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防爆风机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2B016619">
            <w:pPr>
              <w:widowControl w:val="0"/>
              <w:jc w:val="center"/>
              <w:rPr>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4D36363B">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037D5094">
            <w:pPr>
              <w:widowControl w:val="0"/>
              <w:jc w:val="center"/>
              <w:rPr>
                <w:color w:val="000000" w:themeColor="text1"/>
                <w14:textFill>
                  <w14:solidFill>
                    <w14:schemeClr w14:val="tx1"/>
                  </w14:solidFill>
                </w14:textFill>
              </w:rPr>
            </w:pPr>
          </w:p>
        </w:tc>
      </w:tr>
      <w:tr w14:paraId="4879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29F86F79">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14</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35D5532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潜水泵</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4390794F">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2寸</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7582C16C">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27FCB203">
            <w:pPr>
              <w:widowControl w:val="0"/>
              <w:jc w:val="center"/>
              <w:rPr>
                <w:color w:val="000000" w:themeColor="text1"/>
                <w14:textFill>
                  <w14:solidFill>
                    <w14:schemeClr w14:val="tx1"/>
                  </w14:solidFill>
                </w14:textFill>
              </w:rPr>
            </w:pPr>
          </w:p>
        </w:tc>
      </w:tr>
      <w:tr w14:paraId="4D9E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04B2776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15</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488E9961">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固定围挡</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4DFBCA85">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高度不小于1米</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112BE1AF">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78350993">
            <w:pPr>
              <w:widowControl w:val="0"/>
              <w:jc w:val="center"/>
              <w:rPr>
                <w:color w:val="000000" w:themeColor="text1"/>
                <w14:textFill>
                  <w14:solidFill>
                    <w14:schemeClr w14:val="tx1"/>
                  </w14:solidFill>
                </w14:textFill>
              </w:rPr>
            </w:pPr>
          </w:p>
        </w:tc>
      </w:tr>
    </w:tbl>
    <w:p w14:paraId="591D9288">
      <w:pPr>
        <w:pStyle w:val="2"/>
        <w:spacing w:line="360" w:lineRule="auto"/>
        <w:rPr>
          <w:lang w:val="en-US"/>
        </w:rPr>
      </w:pPr>
      <w:r>
        <w:rPr>
          <w:rFonts w:hint="eastAsia"/>
          <w:lang w:val="en-US"/>
        </w:rPr>
        <w:t>3、 后勤配备：中标单位食宿自理，在苏州地区应有固定驻地作为维抢修基地。</w:t>
      </w:r>
    </w:p>
    <w:p w14:paraId="0AB76F3B">
      <w:pPr>
        <w:pStyle w:val="2"/>
        <w:spacing w:line="360" w:lineRule="auto"/>
        <w:rPr>
          <w:lang w:val="en-US"/>
        </w:rPr>
      </w:pPr>
      <w:r>
        <w:rPr>
          <w:rFonts w:hint="eastAsia"/>
          <w:lang w:val="en-US"/>
        </w:rPr>
        <w:t>以上人员，设备需要满足每天24小时待命，以应对天然气管道维抢修任务，达到最快处理维抢修事件的要求。</w:t>
      </w:r>
    </w:p>
    <w:p w14:paraId="249A7600">
      <w:pPr>
        <w:widowControl w:val="0"/>
        <w:adjustRightInd w:val="0"/>
        <w:snapToGrid w:val="0"/>
        <w:spacing w:line="360" w:lineRule="auto"/>
        <w:ind w:firstLine="480" w:firstLineChars="200"/>
        <w:jc w:val="both"/>
        <w:rPr>
          <w:szCs w:val="24"/>
        </w:rPr>
      </w:pPr>
      <w:r>
        <w:rPr>
          <w:rFonts w:hint="eastAsia"/>
          <w:szCs w:val="24"/>
        </w:rPr>
        <w:t>四、其他说明</w:t>
      </w:r>
    </w:p>
    <w:p w14:paraId="4AB36B39">
      <w:pPr>
        <w:widowControl w:val="0"/>
        <w:spacing w:line="360" w:lineRule="auto"/>
        <w:ind w:firstLine="480" w:firstLineChars="200"/>
        <w:jc w:val="both"/>
        <w:rPr>
          <w:szCs w:val="24"/>
        </w:rPr>
      </w:pPr>
      <w:r>
        <w:rPr>
          <w:rFonts w:hint="eastAsia"/>
          <w:szCs w:val="24"/>
        </w:rPr>
        <w:t>1、</w:t>
      </w:r>
      <w:r>
        <w:rPr>
          <w:rFonts w:hint="eastAsia" w:ascii="宋体" w:hAnsi="宋体" w:cs="宋体"/>
          <w:szCs w:val="24"/>
        </w:rPr>
        <w:t>投标报价包括完成该项工作所需的所有服务内容所发生的全部费用、代理服务费、投标人企业利润、税金和政策性文件规定及合同包含的所有风险、责任等各项应有费用。投标报价为最终报价，除非因特殊原因并经甲乙双方协商同意，投标人不得再要求追加任何费用。同时，除非合同条款中另有规定，否则，投标人所报价格在合同实施期间不因市场变化因素而变动</w:t>
      </w:r>
      <w:r>
        <w:rPr>
          <w:rFonts w:hint="eastAsia"/>
          <w:szCs w:val="24"/>
        </w:rPr>
        <w:t>。</w:t>
      </w:r>
    </w:p>
    <w:p w14:paraId="38EC846D">
      <w:pPr>
        <w:widowControl w:val="0"/>
        <w:spacing w:line="360" w:lineRule="auto"/>
        <w:ind w:firstLine="480" w:firstLineChars="200"/>
        <w:jc w:val="both"/>
        <w:rPr>
          <w:szCs w:val="24"/>
        </w:rPr>
      </w:pPr>
      <w:r>
        <w:rPr>
          <w:rFonts w:hint="eastAsia"/>
          <w:szCs w:val="24"/>
        </w:rPr>
        <w:t>2、</w:t>
      </w:r>
      <w:r>
        <w:rPr>
          <w:rFonts w:hint="eastAsia" w:ascii="宋体" w:hAnsi="宋体" w:cs="宋体"/>
          <w:szCs w:val="24"/>
        </w:rPr>
        <w:t>与本项目相关的所有质量、安全问题均由中标人终身负责，如因上述原因造成的一切后果均由中标人自行承担，与他人无涉。</w:t>
      </w:r>
    </w:p>
    <w:p w14:paraId="51A535D4">
      <w:pPr>
        <w:widowControl w:val="0"/>
        <w:spacing w:line="360" w:lineRule="auto"/>
        <w:ind w:firstLine="480" w:firstLineChars="200"/>
        <w:jc w:val="both"/>
        <w:rPr>
          <w:szCs w:val="24"/>
        </w:rPr>
      </w:pPr>
      <w:r>
        <w:rPr>
          <w:rFonts w:hint="eastAsia"/>
          <w:szCs w:val="24"/>
        </w:rPr>
        <w:t>3、</w:t>
      </w:r>
      <w:r>
        <w:rPr>
          <w:rFonts w:hint="eastAsia" w:ascii="宋体" w:hAnsi="宋体" w:cs="宋体"/>
          <w:szCs w:val="24"/>
        </w:rPr>
        <w:t>中标人需根据采购人要求对相关人员进行燃气安全方面的培训。</w:t>
      </w:r>
    </w:p>
    <w:p w14:paraId="55EEF4FF">
      <w:pPr>
        <w:widowControl w:val="0"/>
        <w:spacing w:line="360" w:lineRule="auto"/>
        <w:ind w:firstLine="480" w:firstLineChars="200"/>
        <w:jc w:val="both"/>
        <w:rPr>
          <w:szCs w:val="24"/>
        </w:rPr>
      </w:pPr>
      <w:r>
        <w:rPr>
          <w:rFonts w:hint="eastAsia"/>
          <w:szCs w:val="24"/>
        </w:rPr>
        <w:t>4、</w:t>
      </w:r>
      <w:r>
        <w:rPr>
          <w:rFonts w:hint="eastAsia" w:ascii="宋体" w:hAnsi="宋体" w:cs="宋体"/>
          <w:szCs w:val="24"/>
        </w:rPr>
        <w:t>因中标人原因造成不良影响、发生责任事故的，中标人须承担相关责任及赔偿。</w:t>
      </w:r>
    </w:p>
    <w:p w14:paraId="4813A18D">
      <w:pPr>
        <w:widowControl w:val="0"/>
        <w:spacing w:line="360" w:lineRule="auto"/>
        <w:ind w:firstLine="480" w:firstLineChars="200"/>
        <w:jc w:val="both"/>
        <w:rPr>
          <w:rFonts w:ascii="宋体" w:hAnsi="宋体" w:cs="宋体"/>
          <w:szCs w:val="24"/>
        </w:rPr>
      </w:pPr>
      <w:r>
        <w:rPr>
          <w:rFonts w:hint="eastAsia"/>
          <w:szCs w:val="24"/>
        </w:rPr>
        <w:t>5、</w:t>
      </w:r>
      <w:r>
        <w:rPr>
          <w:rFonts w:hint="eastAsia" w:ascii="宋体" w:hAnsi="宋体" w:cs="宋体"/>
          <w:szCs w:val="24"/>
        </w:rPr>
        <w:t>中标人的工作人员在岗履行职责期间（包括上下班途中），发生自身的人身伤害、伤亡，均由中标人负责处理并承担经济和道义上的责任，采购人不承担任何责任。</w:t>
      </w:r>
    </w:p>
    <w:p w14:paraId="3F266BAB">
      <w:pPr>
        <w:spacing w:line="360" w:lineRule="auto"/>
        <w:ind w:firstLine="480" w:firstLineChars="200"/>
        <w:rPr>
          <w:rFonts w:ascii="宋体" w:hAnsi="宋体" w:cs="宋体"/>
          <w:szCs w:val="24"/>
        </w:rPr>
      </w:pPr>
      <w:r>
        <w:rPr>
          <w:rFonts w:hint="eastAsia"/>
        </w:rPr>
        <w:t>6、</w:t>
      </w:r>
      <w:r>
        <w:rPr>
          <w:rFonts w:hint="eastAsia" w:ascii="宋体" w:hAnsi="宋体" w:cs="宋体"/>
          <w:szCs w:val="24"/>
        </w:rPr>
        <w:t>项目实施质量必须严格按照国家规范及江苏省、苏州市相应地方规范、招标文件的技术规范的有关要求执行，如果在合同履行过程中有新的国家或行业（部）规范和标准出台的，则中标人应确保其合同标的物达到并符合新的国家或行业（部）规范和标准，因此而增加的费用及风险由中标人自行承担。</w:t>
      </w:r>
    </w:p>
    <w:p w14:paraId="36AC52EA">
      <w:pPr>
        <w:pStyle w:val="2"/>
        <w:spacing w:line="360" w:lineRule="auto"/>
        <w:rPr>
          <w:lang w:val="en-US"/>
        </w:rPr>
      </w:pPr>
      <w:r>
        <w:rPr>
          <w:rFonts w:hint="eastAsia"/>
          <w:lang w:val="en-US"/>
        </w:rPr>
        <w:t>7、中标人需针对服务期内可能出现的突发情况制定相关应急方案，确保相关紧急情况下能够满足采购人的检查需求。</w:t>
      </w:r>
    </w:p>
    <w:p w14:paraId="7AE497A7">
      <w:pPr>
        <w:pStyle w:val="2"/>
        <w:spacing w:line="360" w:lineRule="auto"/>
        <w:rPr>
          <w:lang w:val="en-US"/>
        </w:rPr>
      </w:pPr>
      <w:r>
        <w:rPr>
          <w:rFonts w:hint="eastAsia"/>
          <w:lang w:val="en-US"/>
        </w:rPr>
        <w:t>8、中标人须为其配置的所有工作人员提供经采购人确认的统一工作服和必要的劳动防护用品；在签订合同前，中标人向采购人提供投标文件中对应的服务人员劳动合同、有效期内的体检证明、社保证明和人身意外险，提供证件与投标文件中人员证件不符的，采购人有权拒绝签订合同。相关费用由投标人在投标报价中综合考虑。</w:t>
      </w:r>
    </w:p>
    <w:p w14:paraId="469B0C81">
      <w:pPr>
        <w:widowControl w:val="0"/>
        <w:spacing w:line="360" w:lineRule="auto"/>
        <w:ind w:firstLine="480" w:firstLineChars="200"/>
        <w:jc w:val="both"/>
        <w:rPr>
          <w:szCs w:val="24"/>
        </w:rPr>
      </w:pPr>
      <w:r>
        <w:rPr>
          <w:rFonts w:hint="eastAsia"/>
          <w:szCs w:val="24"/>
        </w:rPr>
        <w:t>9、凡涉及招标文件的补充说明和修改，均以招标机构书面通知为准。</w:t>
      </w:r>
    </w:p>
    <w:p w14:paraId="5CDD99B2">
      <w:pPr>
        <w:pStyle w:val="2"/>
        <w:rPr>
          <w:lang w:val="en-US"/>
        </w:rPr>
      </w:pPr>
    </w:p>
    <w:p w14:paraId="7011F8EE">
      <w:pPr>
        <w:widowControl w:val="0"/>
        <w:autoSpaceDE w:val="0"/>
        <w:autoSpaceDN w:val="0"/>
        <w:adjustRightInd w:val="0"/>
        <w:spacing w:line="360" w:lineRule="auto"/>
        <w:jc w:val="center"/>
        <w:rPr>
          <w:rFonts w:eastAsia="黑体"/>
          <w:b/>
          <w:bCs/>
          <w:spacing w:val="20"/>
          <w:sz w:val="30"/>
        </w:rPr>
      </w:pPr>
      <w:bookmarkStart w:id="2" w:name="_bookmark15"/>
      <w:bookmarkEnd w:id="2"/>
      <w:bookmarkStart w:id="3" w:name="_bookmark12"/>
      <w:bookmarkEnd w:id="3"/>
      <w:bookmarkStart w:id="4" w:name="_bookmark13"/>
      <w:bookmarkEnd w:id="4"/>
      <w:bookmarkStart w:id="5" w:name="_bookmark32"/>
      <w:bookmarkEnd w:id="5"/>
    </w:p>
    <w:p w14:paraId="4240C7B7">
      <w:pPr>
        <w:widowControl w:val="0"/>
        <w:autoSpaceDE w:val="0"/>
        <w:autoSpaceDN w:val="0"/>
        <w:adjustRightInd w:val="0"/>
        <w:spacing w:line="360" w:lineRule="auto"/>
        <w:jc w:val="center"/>
        <w:rPr>
          <w:rFonts w:eastAsia="黑体"/>
          <w:b/>
          <w:bCs/>
          <w:spacing w:val="20"/>
          <w:sz w:val="30"/>
        </w:rPr>
      </w:pPr>
    </w:p>
    <w:p w14:paraId="44979BFF">
      <w:pPr>
        <w:widowControl w:val="0"/>
        <w:autoSpaceDE w:val="0"/>
        <w:autoSpaceDN w:val="0"/>
        <w:adjustRightInd w:val="0"/>
        <w:spacing w:line="360" w:lineRule="auto"/>
        <w:jc w:val="center"/>
        <w:rPr>
          <w:rFonts w:eastAsia="黑体"/>
          <w:b/>
          <w:bCs/>
          <w:spacing w:val="20"/>
          <w:sz w:val="30"/>
        </w:rPr>
      </w:pPr>
    </w:p>
    <w:p w14:paraId="32E54250">
      <w:pPr>
        <w:widowControl w:val="0"/>
        <w:autoSpaceDE w:val="0"/>
        <w:autoSpaceDN w:val="0"/>
        <w:adjustRightInd w:val="0"/>
        <w:spacing w:line="360" w:lineRule="auto"/>
        <w:jc w:val="center"/>
        <w:rPr>
          <w:rFonts w:eastAsia="黑体"/>
          <w:b/>
          <w:bCs/>
          <w:spacing w:val="20"/>
          <w:sz w:val="30"/>
        </w:rPr>
      </w:pPr>
    </w:p>
    <w:p w14:paraId="340DDC2F">
      <w:pPr>
        <w:widowControl w:val="0"/>
        <w:autoSpaceDE w:val="0"/>
        <w:autoSpaceDN w:val="0"/>
        <w:adjustRightInd w:val="0"/>
        <w:spacing w:line="360" w:lineRule="auto"/>
        <w:jc w:val="center"/>
        <w:rPr>
          <w:rFonts w:eastAsia="黑体"/>
          <w:b/>
          <w:bCs/>
          <w:spacing w:val="20"/>
          <w:sz w:val="30"/>
        </w:rPr>
      </w:pPr>
    </w:p>
    <w:p w14:paraId="22346A30">
      <w:pPr>
        <w:widowControl w:val="0"/>
        <w:autoSpaceDE w:val="0"/>
        <w:autoSpaceDN w:val="0"/>
        <w:adjustRightInd w:val="0"/>
        <w:spacing w:line="360" w:lineRule="auto"/>
        <w:rPr>
          <w:rFonts w:eastAsia="黑体"/>
          <w:b/>
          <w:bCs/>
          <w:spacing w:val="20"/>
          <w:sz w:val="30"/>
        </w:rPr>
      </w:pPr>
    </w:p>
    <w:p w14:paraId="68424987">
      <w:pPr>
        <w:widowControl w:val="0"/>
        <w:autoSpaceDE w:val="0"/>
        <w:autoSpaceDN w:val="0"/>
        <w:adjustRightInd w:val="0"/>
        <w:spacing w:line="360" w:lineRule="auto"/>
        <w:jc w:val="center"/>
        <w:rPr>
          <w:rFonts w:eastAsia="黑体"/>
          <w:b/>
          <w:bCs/>
          <w:spacing w:val="20"/>
          <w:sz w:val="30"/>
        </w:rPr>
      </w:pPr>
      <w:r>
        <w:rPr>
          <w:rFonts w:eastAsia="黑体"/>
          <w:b/>
          <w:bCs/>
          <w:spacing w:val="20"/>
          <w:sz w:val="30"/>
        </w:rPr>
        <w:t>第</w:t>
      </w:r>
      <w:r>
        <w:rPr>
          <w:rFonts w:hint="eastAsia" w:eastAsia="黑体"/>
          <w:b/>
          <w:bCs/>
          <w:spacing w:val="20"/>
          <w:sz w:val="30"/>
        </w:rPr>
        <w:t>五</w:t>
      </w:r>
      <w:r>
        <w:rPr>
          <w:rFonts w:eastAsia="黑体"/>
          <w:b/>
          <w:bCs/>
          <w:spacing w:val="20"/>
          <w:sz w:val="30"/>
        </w:rPr>
        <w:t>章</w:t>
      </w:r>
      <w:r>
        <w:rPr>
          <w:rFonts w:hint="eastAsia" w:eastAsia="黑体"/>
          <w:b/>
          <w:bCs/>
          <w:spacing w:val="20"/>
          <w:sz w:val="30"/>
        </w:rPr>
        <w:t xml:space="preserve">  合同主要条款</w:t>
      </w:r>
    </w:p>
    <w:p w14:paraId="359C1C84">
      <w:pPr>
        <w:widowControl w:val="0"/>
        <w:spacing w:line="360" w:lineRule="auto"/>
        <w:jc w:val="both"/>
        <w:rPr>
          <w:rFonts w:ascii="宋体" w:hAnsi="宋体"/>
          <w:kern w:val="2"/>
          <w:szCs w:val="24"/>
        </w:rPr>
      </w:pPr>
      <w:r>
        <w:rPr>
          <w:rFonts w:hint="eastAsia" w:ascii="宋体" w:hAnsi="宋体"/>
          <w:kern w:val="2"/>
          <w:szCs w:val="24"/>
        </w:rPr>
        <w:t>甲方：苏州燃气集团有限责任公司</w:t>
      </w:r>
    </w:p>
    <w:p w14:paraId="1A8C4303">
      <w:pPr>
        <w:widowControl w:val="0"/>
        <w:spacing w:line="360" w:lineRule="auto"/>
        <w:jc w:val="both"/>
        <w:rPr>
          <w:rFonts w:ascii="宋体" w:hAnsi="宋体"/>
          <w:kern w:val="2"/>
        </w:rPr>
      </w:pPr>
      <w:r>
        <w:rPr>
          <w:rFonts w:hint="eastAsia" w:ascii="宋体" w:hAnsi="宋体"/>
          <w:kern w:val="2"/>
        </w:rPr>
        <w:t>联系人：</w:t>
      </w:r>
    </w:p>
    <w:p w14:paraId="5E9090B8">
      <w:pPr>
        <w:widowControl w:val="0"/>
        <w:spacing w:line="360" w:lineRule="auto"/>
        <w:jc w:val="both"/>
        <w:rPr>
          <w:rFonts w:ascii="宋体" w:hAnsi="宋体"/>
          <w:kern w:val="2"/>
        </w:rPr>
      </w:pPr>
      <w:r>
        <w:rPr>
          <w:rFonts w:hint="eastAsia" w:ascii="宋体" w:hAnsi="宋体"/>
          <w:kern w:val="2"/>
        </w:rPr>
        <w:t>联系电话：</w:t>
      </w:r>
    </w:p>
    <w:p w14:paraId="3345A4AF">
      <w:pPr>
        <w:widowControl w:val="0"/>
        <w:autoSpaceDE w:val="0"/>
        <w:autoSpaceDN w:val="0"/>
        <w:spacing w:line="360" w:lineRule="auto"/>
        <w:jc w:val="both"/>
        <w:outlineLvl w:val="0"/>
        <w:rPr>
          <w:rFonts w:ascii="宋体" w:hAnsi="宋体" w:cs="宋体"/>
          <w:kern w:val="2"/>
          <w:szCs w:val="24"/>
          <w:lang w:val="zh-CN"/>
        </w:rPr>
      </w:pPr>
      <w:r>
        <w:rPr>
          <w:rFonts w:hint="eastAsia" w:ascii="宋体" w:hAnsi="宋体" w:cs="宋体"/>
          <w:kern w:val="2"/>
          <w:szCs w:val="24"/>
          <w:lang w:val="zh-CN"/>
        </w:rPr>
        <w:t>乙方：</w:t>
      </w:r>
    </w:p>
    <w:p w14:paraId="513FD951">
      <w:pPr>
        <w:widowControl w:val="0"/>
        <w:autoSpaceDE w:val="0"/>
        <w:autoSpaceDN w:val="0"/>
        <w:spacing w:line="360" w:lineRule="auto"/>
        <w:jc w:val="both"/>
        <w:rPr>
          <w:rFonts w:ascii="宋体" w:hAnsi="宋体" w:cs="宋体"/>
          <w:kern w:val="2"/>
          <w:szCs w:val="24"/>
          <w:lang w:val="zh-CN"/>
        </w:rPr>
      </w:pPr>
      <w:r>
        <w:rPr>
          <w:rFonts w:hint="eastAsia" w:ascii="宋体" w:hAnsi="宋体" w:cs="宋体"/>
          <w:kern w:val="2"/>
          <w:szCs w:val="24"/>
          <w:lang w:val="zh-CN"/>
        </w:rPr>
        <w:t>联系人：</w:t>
      </w:r>
    </w:p>
    <w:p w14:paraId="7EFBFC22">
      <w:pPr>
        <w:widowControl w:val="0"/>
        <w:spacing w:line="360" w:lineRule="auto"/>
        <w:jc w:val="both"/>
        <w:rPr>
          <w:rFonts w:ascii="宋体" w:hAnsi="宋体" w:cs="宋体"/>
          <w:kern w:val="2"/>
          <w:szCs w:val="24"/>
          <w:lang w:val="zh-CN"/>
        </w:rPr>
      </w:pPr>
      <w:r>
        <w:rPr>
          <w:rFonts w:hint="eastAsia" w:ascii="宋体" w:hAnsi="宋体" w:cs="宋体"/>
          <w:kern w:val="2"/>
          <w:szCs w:val="24"/>
          <w:lang w:val="zh-CN"/>
        </w:rPr>
        <w:t>联系电话：</w:t>
      </w:r>
    </w:p>
    <w:p w14:paraId="44DA999C">
      <w:pPr>
        <w:widowControl w:val="0"/>
        <w:spacing w:line="360" w:lineRule="auto"/>
        <w:ind w:firstLine="480" w:firstLineChars="200"/>
        <w:jc w:val="both"/>
        <w:rPr>
          <w:szCs w:val="24"/>
        </w:rPr>
      </w:pPr>
      <w:r>
        <w:rPr>
          <w:rFonts w:hint="eastAsia"/>
          <w:szCs w:val="24"/>
        </w:rPr>
        <w:t xml:space="preserve">甲、乙双方在平等协商的基础上签订2024-2025年度天然气管道维抢修工程合同，在遵循相关法律、法规及规章的前提下，自愿就乙方组建一支维抢修队伍为甲方服务及相关事宜达成协议如下： </w:t>
      </w:r>
    </w:p>
    <w:p w14:paraId="7BF28B0E">
      <w:pPr>
        <w:widowControl w:val="0"/>
        <w:spacing w:line="360" w:lineRule="auto"/>
        <w:ind w:firstLine="480" w:firstLineChars="200"/>
        <w:jc w:val="both"/>
        <w:rPr>
          <w:szCs w:val="24"/>
        </w:rPr>
      </w:pPr>
      <w:r>
        <w:rPr>
          <w:rFonts w:hint="eastAsia"/>
          <w:szCs w:val="24"/>
        </w:rPr>
        <w:t>一、服务范围</w:t>
      </w:r>
    </w:p>
    <w:p w14:paraId="76868A62">
      <w:pPr>
        <w:widowControl w:val="0"/>
        <w:spacing w:line="360" w:lineRule="auto"/>
        <w:ind w:firstLine="480" w:firstLineChars="200"/>
        <w:jc w:val="both"/>
        <w:rPr>
          <w:szCs w:val="24"/>
        </w:rPr>
      </w:pPr>
      <w:r>
        <w:rPr>
          <w:rFonts w:hint="eastAsia"/>
          <w:szCs w:val="24"/>
        </w:rPr>
        <w:t>甲方所属范围内所有高中低压管网，包含高压板块高压管线约300公里、场站23个、阀室17个、阀井6座；中低压板块中压管线约</w:t>
      </w:r>
      <w:r>
        <w:rPr>
          <w:szCs w:val="24"/>
        </w:rPr>
        <w:t>4</w:t>
      </w:r>
      <w:r>
        <w:rPr>
          <w:rFonts w:hint="eastAsia"/>
          <w:szCs w:val="24"/>
        </w:rPr>
        <w:t>00公里、低压管线约</w:t>
      </w:r>
      <w:r>
        <w:rPr>
          <w:szCs w:val="24"/>
        </w:rPr>
        <w:t>2680</w:t>
      </w:r>
      <w:r>
        <w:rPr>
          <w:rFonts w:hint="eastAsia"/>
          <w:szCs w:val="24"/>
        </w:rPr>
        <w:t>公里、阀井</w:t>
      </w:r>
      <w:r>
        <w:rPr>
          <w:szCs w:val="24"/>
        </w:rPr>
        <w:t>2289</w:t>
      </w:r>
      <w:r>
        <w:rPr>
          <w:rFonts w:hint="eastAsia"/>
          <w:szCs w:val="24"/>
        </w:rPr>
        <w:t>座、燃气调压器1</w:t>
      </w:r>
      <w:r>
        <w:rPr>
          <w:szCs w:val="24"/>
        </w:rPr>
        <w:t>238</w:t>
      </w:r>
      <w:r>
        <w:rPr>
          <w:rFonts w:hint="eastAsia"/>
          <w:szCs w:val="24"/>
        </w:rPr>
        <w:t>台；以及将来增加的天然气管道、场站、阀室、阀井的维抢修服务。</w:t>
      </w:r>
    </w:p>
    <w:p w14:paraId="070B93E4">
      <w:pPr>
        <w:widowControl w:val="0"/>
        <w:spacing w:line="360" w:lineRule="auto"/>
        <w:ind w:firstLine="480" w:firstLineChars="200"/>
        <w:jc w:val="both"/>
        <w:rPr>
          <w:szCs w:val="24"/>
        </w:rPr>
      </w:pPr>
      <w:r>
        <w:rPr>
          <w:rFonts w:hint="eastAsia"/>
          <w:szCs w:val="24"/>
        </w:rPr>
        <w:t>二、合同费用及支付方式</w:t>
      </w:r>
    </w:p>
    <w:p w14:paraId="7B0AE939">
      <w:pPr>
        <w:widowControl w:val="0"/>
        <w:spacing w:line="360" w:lineRule="auto"/>
        <w:ind w:firstLine="480" w:firstLineChars="200"/>
        <w:jc w:val="both"/>
        <w:rPr>
          <w:szCs w:val="24"/>
        </w:rPr>
      </w:pPr>
      <w:r>
        <w:rPr>
          <w:rFonts w:hint="eastAsia"/>
          <w:szCs w:val="24"/>
        </w:rPr>
        <w:t xml:space="preserve">1、服务费：服务费每年人民币 </w:t>
      </w:r>
      <w:r>
        <w:rPr>
          <w:rFonts w:hint="eastAsia"/>
          <w:szCs w:val="24"/>
          <w:u w:val="single"/>
        </w:rPr>
        <w:t xml:space="preserve">           </w:t>
      </w:r>
      <w:r>
        <w:rPr>
          <w:rFonts w:hint="eastAsia"/>
          <w:szCs w:val="24"/>
        </w:rPr>
        <w:t>元整。</w:t>
      </w:r>
    </w:p>
    <w:p w14:paraId="551CA2AF">
      <w:pPr>
        <w:widowControl w:val="0"/>
        <w:spacing w:line="360" w:lineRule="auto"/>
        <w:ind w:firstLine="480" w:firstLineChars="200"/>
        <w:jc w:val="both"/>
        <w:rPr>
          <w:szCs w:val="24"/>
        </w:rPr>
      </w:pPr>
      <w:r>
        <w:rPr>
          <w:rFonts w:hint="eastAsia"/>
          <w:szCs w:val="24"/>
        </w:rPr>
        <w:t>2、乙方完成工程量以甲方确认的工程量签证单为准，双方结算金额以完成工工程量乘合同单价结算。本合同未约定的辅材单价，由甲乙双方根据市场价协商确定后予以结算。（单价见附件1）</w:t>
      </w:r>
    </w:p>
    <w:p w14:paraId="31CFBCDB">
      <w:pPr>
        <w:widowControl w:val="0"/>
        <w:spacing w:line="360" w:lineRule="auto"/>
        <w:ind w:firstLine="480" w:firstLineChars="200"/>
        <w:jc w:val="both"/>
        <w:rPr>
          <w:szCs w:val="24"/>
        </w:rPr>
      </w:pPr>
      <w:r>
        <w:rPr>
          <w:rFonts w:hint="eastAsia"/>
          <w:szCs w:val="24"/>
        </w:rPr>
        <w:t>3、甲方每一合同年度分两次向乙方支付服务费，具体支付时间为每年的六月底和十二月底。</w:t>
      </w:r>
    </w:p>
    <w:p w14:paraId="61D0AA91">
      <w:pPr>
        <w:widowControl w:val="0"/>
        <w:spacing w:line="360" w:lineRule="auto"/>
        <w:ind w:firstLine="480" w:firstLineChars="200"/>
        <w:jc w:val="both"/>
        <w:rPr>
          <w:szCs w:val="24"/>
        </w:rPr>
      </w:pPr>
      <w:r>
        <w:rPr>
          <w:rFonts w:hint="eastAsia"/>
          <w:szCs w:val="24"/>
        </w:rPr>
        <w:t>4、发票乙方应在每个支付日前五日向甲方开具相应金额的发票。</w:t>
      </w:r>
    </w:p>
    <w:p w14:paraId="0B218B69">
      <w:pPr>
        <w:widowControl w:val="0"/>
        <w:spacing w:line="360" w:lineRule="auto"/>
        <w:ind w:firstLine="480" w:firstLineChars="200"/>
        <w:jc w:val="both"/>
        <w:rPr>
          <w:szCs w:val="24"/>
        </w:rPr>
      </w:pPr>
      <w:r>
        <w:rPr>
          <w:rFonts w:hint="eastAsia"/>
          <w:szCs w:val="24"/>
        </w:rPr>
        <w:t>三、队伍的组建及人员配备</w:t>
      </w:r>
    </w:p>
    <w:p w14:paraId="7FB21E39">
      <w:pPr>
        <w:pStyle w:val="2"/>
        <w:spacing w:line="360" w:lineRule="auto"/>
        <w:rPr>
          <w:lang w:val="en-US"/>
        </w:rPr>
      </w:pPr>
      <w:r>
        <w:rPr>
          <w:rFonts w:hint="eastAsia"/>
          <w:lang w:val="en-US"/>
        </w:rPr>
        <w:t>1、中标单位与采购单位合同签订之日起十日内组建一支人员固定、业务熟练、有较强施工经验的队伍以满足24小时服务需求，其中人员配备必须包括：</w:t>
      </w:r>
    </w:p>
    <w:p w14:paraId="4C02980B">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施工队长1人：男性，身体健康，年龄在25〜55岁，应具有</w:t>
      </w:r>
      <w:r>
        <w:rPr>
          <w:rFonts w:hint="eastAsia" w:ascii="宋体" w:hAnsi="宋体" w:cs="宋体"/>
          <w:color w:val="000000" w:themeColor="text1"/>
          <w14:textFill>
            <w14:solidFill>
              <w14:schemeClr w14:val="tx1"/>
            </w14:solidFill>
          </w14:textFill>
        </w:rPr>
        <w:t>三年以上天然气管道施工</w:t>
      </w:r>
      <w:r>
        <w:rPr>
          <w:rFonts w:hint="eastAsia"/>
          <w:color w:val="000000" w:themeColor="text1"/>
          <w:lang w:val="en-US"/>
          <w14:textFill>
            <w14:solidFill>
              <w14:schemeClr w14:val="tx1"/>
            </w14:solidFill>
          </w14:textFill>
        </w:rPr>
        <w:t>管理经验。（负责接收甲方指令，安排协调维抢修人员，和甲方制定维抢修方案等）</w:t>
      </w:r>
    </w:p>
    <w:p w14:paraId="6832DC76">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抢修车司机2人：男性，身体健康，年龄在25〜55岁（负责安全的人员运送，材料领取）</w:t>
      </w:r>
    </w:p>
    <w:p w14:paraId="110E3232">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辅助工5-8人：男性，身体健康，年龄在55岁以下（负责土方开挖，材料准备，设备保养，配合管工焊工）</w:t>
      </w:r>
    </w:p>
    <w:p w14:paraId="24B2AB59">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管工3人：男性，身体健康，年龄在</w:t>
      </w:r>
      <w:r>
        <w:rPr>
          <w:color w:val="000000" w:themeColor="text1"/>
          <w:lang w:val="en-US"/>
          <w14:textFill>
            <w14:solidFill>
              <w14:schemeClr w14:val="tx1"/>
            </w14:solidFill>
          </w14:textFill>
        </w:rPr>
        <w:t>25</w:t>
      </w:r>
      <w:r>
        <w:rPr>
          <w:rFonts w:hint="eastAsia" w:ascii="MS Mincho" w:hAnsi="MS Mincho" w:eastAsia="MS Mincho" w:cs="MS Mincho"/>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55岁，</w:t>
      </w:r>
      <w:r>
        <w:rPr>
          <w:rFonts w:hint="eastAsia" w:ascii="宋体" w:hAnsi="宋体" w:cs="宋体"/>
          <w:color w:val="000000" w:themeColor="text1"/>
          <w14:textFill>
            <w14:solidFill>
              <w14:schemeClr w14:val="tx1"/>
            </w14:solidFill>
          </w14:textFill>
        </w:rPr>
        <w:t>应具有</w:t>
      </w:r>
      <w:r>
        <w:rPr>
          <w:rFonts w:hint="eastAsia"/>
          <w:color w:val="000000" w:themeColor="text1"/>
          <w:lang w:val="en-US"/>
          <w14:textFill>
            <w14:solidFill>
              <w14:schemeClr w14:val="tx1"/>
            </w14:solidFill>
          </w14:textFill>
        </w:rPr>
        <w:t>三年以上天然气管网维护经验。（负责维抢修任务的前期准备工作，现场辅助工调配，施工过程中焊口质量把控）</w:t>
      </w:r>
    </w:p>
    <w:p w14:paraId="43F8D7A3">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钢管焊工2人：男性，身体健康，年龄在</w:t>
      </w:r>
      <w:r>
        <w:rPr>
          <w:color w:val="000000" w:themeColor="text1"/>
          <w:lang w:val="en-US"/>
          <w14:textFill>
            <w14:solidFill>
              <w14:schemeClr w14:val="tx1"/>
            </w14:solidFill>
          </w14:textFill>
        </w:rPr>
        <w:t>25</w:t>
      </w:r>
      <w:r>
        <w:rPr>
          <w:rFonts w:hint="eastAsia" w:ascii="MS Mincho" w:hAnsi="MS Mincho" w:eastAsia="MS Mincho" w:cs="MS Mincho"/>
          <w:color w:val="000000" w:themeColor="text1"/>
          <w:lang w:val="en-US"/>
          <w14:textFill>
            <w14:solidFill>
              <w14:schemeClr w14:val="tx1"/>
            </w14:solidFill>
          </w14:textFill>
        </w:rPr>
        <w:t>〜</w:t>
      </w:r>
      <w:r>
        <w:rPr>
          <w:rFonts w:hint="eastAsia"/>
          <w:color w:val="000000" w:themeColor="text1"/>
          <w:lang w:val="en-US"/>
          <w14:textFill>
            <w14:solidFill>
              <w14:schemeClr w14:val="tx1"/>
            </w14:solidFill>
          </w14:textFill>
        </w:rPr>
        <w:t>55岁，</w:t>
      </w:r>
      <w:r>
        <w:rPr>
          <w:rFonts w:hint="eastAsia" w:ascii="宋体" w:hAnsi="宋体" w:cs="宋体"/>
          <w:color w:val="000000" w:themeColor="text1"/>
          <w14:textFill>
            <w14:solidFill>
              <w14:schemeClr w14:val="tx1"/>
            </w14:solidFill>
          </w14:textFill>
        </w:rPr>
        <w:t>应具有</w:t>
      </w:r>
      <w:r>
        <w:rPr>
          <w:rFonts w:hint="eastAsia"/>
          <w:color w:val="000000" w:themeColor="text1"/>
          <w:lang w:val="en-US"/>
          <w14:textFill>
            <w14:solidFill>
              <w14:schemeClr w14:val="tx1"/>
            </w14:solidFill>
          </w14:textFill>
        </w:rPr>
        <w:t>三年以上天然气管道焊接经验，且持有手工电弧下向焊根焊焊接证件。（带证上岗，保质保量，保证效率完成管工组对的钢管焊口焊接）</w:t>
      </w:r>
    </w:p>
    <w:p w14:paraId="0E724EC6">
      <w:pPr>
        <w:pStyle w:val="2"/>
        <w:spacing w:line="360" w:lineRule="auto"/>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PE管焊工1人：</w:t>
      </w:r>
      <w:r>
        <w:rPr>
          <w:rFonts w:hint="eastAsia" w:ascii="宋体" w:hAnsi="宋体" w:cs="宋体"/>
          <w:color w:val="000000" w:themeColor="text1"/>
          <w14:textFill>
            <w14:solidFill>
              <w14:schemeClr w14:val="tx1"/>
            </w14:solidFill>
          </w14:textFill>
        </w:rPr>
        <w:t>男性，身</w:t>
      </w:r>
      <w:r>
        <w:rPr>
          <w:rFonts w:hint="eastAsia"/>
          <w:color w:val="000000" w:themeColor="text1"/>
          <w:lang w:val="en-US"/>
          <w14:textFill>
            <w14:solidFill>
              <w14:schemeClr w14:val="tx1"/>
            </w14:solidFill>
          </w14:textFill>
        </w:rPr>
        <w:t>体健康，年</w:t>
      </w:r>
      <w:r>
        <w:rPr>
          <w:rFonts w:hint="eastAsia"/>
          <w:lang w:val="en-US"/>
        </w:rPr>
        <w:t>龄在25〜45岁，应具有</w:t>
      </w:r>
      <w:r>
        <w:rPr>
          <w:rFonts w:hint="eastAsia" w:ascii="宋体" w:hAnsi="宋体" w:cs="宋体"/>
          <w:color w:val="000000" w:themeColor="text1"/>
          <w14:textFill>
            <w14:solidFill>
              <w14:schemeClr w14:val="tx1"/>
            </w14:solidFill>
          </w14:textFill>
        </w:rPr>
        <w:t>三年以上</w:t>
      </w:r>
      <w:r>
        <w:rPr>
          <w:rFonts w:hint="eastAsia" w:ascii="宋体" w:hAnsi="宋体" w:cs="宋体"/>
          <w:color w:val="000000" w:themeColor="text1"/>
          <w:lang w:val="en-US"/>
          <w14:textFill>
            <w14:solidFill>
              <w14:schemeClr w14:val="tx1"/>
            </w14:solidFill>
          </w14:textFill>
        </w:rPr>
        <w:t>PE</w:t>
      </w:r>
      <w:r>
        <w:rPr>
          <w:rFonts w:hint="eastAsia" w:ascii="宋体" w:hAnsi="宋体" w:cs="宋体"/>
          <w:color w:val="000000" w:themeColor="text1"/>
          <w14:textFill>
            <w14:solidFill>
              <w14:schemeClr w14:val="tx1"/>
            </w14:solidFill>
          </w14:textFill>
        </w:rPr>
        <w:t>管道焊接经验，</w:t>
      </w:r>
      <w:r>
        <w:rPr>
          <w:rFonts w:hint="eastAsia" w:ascii="宋体" w:hAnsi="宋体" w:cs="宋体"/>
          <w:color w:val="000000" w:themeColor="text1"/>
          <w:lang w:val="en-US"/>
          <w14:textFill>
            <w14:solidFill>
              <w14:schemeClr w14:val="tx1"/>
            </w14:solidFill>
          </w14:textFill>
        </w:rPr>
        <w:t>且持有PE焊焊工证</w:t>
      </w:r>
      <w:r>
        <w:rPr>
          <w:rFonts w:hint="eastAsia" w:ascii="宋体" w:hAnsi="宋体" w:cs="宋体"/>
          <w:color w:val="000000" w:themeColor="text1"/>
          <w14:textFill>
            <w14:solidFill>
              <w14:schemeClr w14:val="tx1"/>
            </w14:solidFill>
          </w14:textFill>
        </w:rPr>
        <w:t>。（带证上岗，保质保量，保证效率完成管工组对的PE管焊口焊接）</w:t>
      </w:r>
    </w:p>
    <w:p w14:paraId="09BCF7F5">
      <w:pPr>
        <w:widowControl w:val="0"/>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2、维抢修材料和机具</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55"/>
        <w:gridCol w:w="2040"/>
        <w:gridCol w:w="3136"/>
        <w:gridCol w:w="1559"/>
        <w:gridCol w:w="1410"/>
      </w:tblGrid>
      <w:tr w14:paraId="05DE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7AE8086B">
            <w:pPr>
              <w:pStyle w:val="297"/>
              <w:shd w:val="clear" w:color="auto" w:fill="auto"/>
              <w:spacing w:after="60"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序号</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6DD506C9">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设备名称</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20AE1913">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型号及规格</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2C9101CE">
            <w:pPr>
              <w:pStyle w:val="297"/>
              <w:shd w:val="clear" w:color="auto" w:fill="auto"/>
              <w:spacing w:after="200"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数量</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76BEE54">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备注</w:t>
            </w:r>
          </w:p>
        </w:tc>
      </w:tr>
      <w:tr w14:paraId="2F66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71ED509B">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69AC5C47">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工程抢险车</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1E0600C4">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双排货车</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50E25570">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E06780E">
            <w:pPr>
              <w:widowControl w:val="0"/>
              <w:jc w:val="center"/>
              <w:rPr>
                <w:color w:val="000000" w:themeColor="text1"/>
                <w14:textFill>
                  <w14:solidFill>
                    <w14:schemeClr w14:val="tx1"/>
                  </w14:solidFill>
                </w14:textFill>
              </w:rPr>
            </w:pPr>
          </w:p>
        </w:tc>
      </w:tr>
      <w:tr w14:paraId="4565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49B2E9E4">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3FC5E50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焊机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6F836E92">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奥太或同等级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77C38647">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3</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308D3FA5">
            <w:pPr>
              <w:widowControl w:val="0"/>
              <w:jc w:val="center"/>
              <w:rPr>
                <w:color w:val="000000" w:themeColor="text1"/>
                <w14:textFill>
                  <w14:solidFill>
                    <w14:schemeClr w14:val="tx1"/>
                  </w14:solidFill>
                </w14:textFill>
              </w:rPr>
            </w:pPr>
          </w:p>
        </w:tc>
      </w:tr>
      <w:tr w14:paraId="34F7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078A74C0">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3</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3E9CB2F6">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柴油发电机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52CB0601">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50KW或以上</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4BAFE9E4">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4C6EE70">
            <w:pPr>
              <w:widowControl w:val="0"/>
              <w:jc w:val="center"/>
              <w:rPr>
                <w:color w:val="000000" w:themeColor="text1"/>
                <w14:textFill>
                  <w14:solidFill>
                    <w14:schemeClr w14:val="tx1"/>
                  </w14:solidFill>
                </w14:textFill>
              </w:rPr>
            </w:pPr>
          </w:p>
        </w:tc>
      </w:tr>
      <w:tr w14:paraId="6B5E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214C905B">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4</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0AD0767F">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汽油发电机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701D556A">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EG1800X或同等级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337B8489">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2F828603">
            <w:pPr>
              <w:widowControl w:val="0"/>
              <w:jc w:val="center"/>
              <w:rPr>
                <w:color w:val="000000" w:themeColor="text1"/>
                <w14:textFill>
                  <w14:solidFill>
                    <w14:schemeClr w14:val="tx1"/>
                  </w14:solidFill>
                </w14:textFill>
              </w:rPr>
            </w:pPr>
          </w:p>
        </w:tc>
      </w:tr>
      <w:tr w14:paraId="034C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500A6DC0">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5</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0175B3D1">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管道切割机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6C5F79F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电动或液压一台</w:t>
            </w:r>
          </w:p>
          <w:p w14:paraId="209F25D7">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手动一台</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2C7B78FE">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74235FF6">
            <w:pPr>
              <w:widowControl w:val="0"/>
              <w:jc w:val="center"/>
              <w:rPr>
                <w:color w:val="000000" w:themeColor="text1"/>
                <w14:textFill>
                  <w14:solidFill>
                    <w14:schemeClr w14:val="tx1"/>
                  </w14:solidFill>
                </w14:textFill>
              </w:rPr>
            </w:pPr>
          </w:p>
        </w:tc>
      </w:tr>
      <w:tr w14:paraId="1FEF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1707BD4A">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6</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244CF7BB">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路面切割机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650D2D33">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LP300 5000J或同等级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7FC51D86">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5F77C46A">
            <w:pPr>
              <w:widowControl w:val="0"/>
              <w:jc w:val="center"/>
              <w:rPr>
                <w:color w:val="000000" w:themeColor="text1"/>
                <w14:textFill>
                  <w14:solidFill>
                    <w14:schemeClr w14:val="tx1"/>
                  </w14:solidFill>
                </w14:textFill>
              </w:rPr>
            </w:pPr>
          </w:p>
        </w:tc>
      </w:tr>
      <w:tr w14:paraId="3F52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399C01F9">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7</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1193977F">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空气压缩机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4DE86385">
            <w:pPr>
              <w:pStyle w:val="297"/>
              <w:spacing w:after="220"/>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BH-12/7 滑片式</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FE3696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3FBC25D1">
            <w:pPr>
              <w:widowControl w:val="0"/>
              <w:jc w:val="center"/>
              <w:rPr>
                <w:color w:val="000000" w:themeColor="text1"/>
                <w14:textFill>
                  <w14:solidFill>
                    <w14:schemeClr w14:val="tx1"/>
                  </w14:solidFill>
                </w14:textFill>
              </w:rPr>
            </w:pPr>
          </w:p>
        </w:tc>
      </w:tr>
      <w:tr w14:paraId="3612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2D73781A">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8</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10B7584B">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电动套丝机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720C614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DN50以下</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3DEEC877">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7FAEA734">
            <w:pPr>
              <w:widowControl w:val="0"/>
              <w:jc w:val="center"/>
              <w:rPr>
                <w:color w:val="000000" w:themeColor="text1"/>
                <w14:textFill>
                  <w14:solidFill>
                    <w14:schemeClr w14:val="tx1"/>
                  </w14:solidFill>
                </w14:textFill>
              </w:rPr>
            </w:pPr>
          </w:p>
        </w:tc>
      </w:tr>
      <w:tr w14:paraId="6C33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4F8F9341">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9</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51AFCDB7">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套丝机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6E3BF7C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DN80-100</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36587E1B">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6DBB30C6">
            <w:pPr>
              <w:widowControl w:val="0"/>
              <w:jc w:val="center"/>
              <w:rPr>
                <w:color w:val="000000" w:themeColor="text1"/>
                <w14:textFill>
                  <w14:solidFill>
                    <w14:schemeClr w14:val="tx1"/>
                  </w14:solidFill>
                </w14:textFill>
              </w:rPr>
            </w:pPr>
          </w:p>
        </w:tc>
      </w:tr>
      <w:tr w14:paraId="0C67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5C5A7742">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10</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7316BDD6">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可燃气体检测仪</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37A4B848">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XP-311A</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1ADB7DC8">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3</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351E6F11">
            <w:pPr>
              <w:widowControl w:val="0"/>
              <w:jc w:val="center"/>
              <w:rPr>
                <w:color w:val="000000" w:themeColor="text1"/>
                <w14:textFill>
                  <w14:solidFill>
                    <w14:schemeClr w14:val="tx1"/>
                  </w14:solidFill>
                </w14:textFill>
              </w:rPr>
            </w:pPr>
          </w:p>
        </w:tc>
      </w:tr>
      <w:tr w14:paraId="7903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14299927">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11</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57EE2885">
            <w:pPr>
              <w:pStyle w:val="297"/>
              <w:shd w:val="clear" w:color="auto" w:fill="auto"/>
              <w:spacing w:after="200"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全自动热熔焊机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770F0BF8">
            <w:pPr>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BZHXQ400或同等级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CA672D5">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6CBA48C">
            <w:pPr>
              <w:widowControl w:val="0"/>
              <w:jc w:val="center"/>
              <w:rPr>
                <w:color w:val="000000" w:themeColor="text1"/>
                <w14:textFill>
                  <w14:solidFill>
                    <w14:schemeClr w14:val="tx1"/>
                  </w14:solidFill>
                </w14:textFill>
              </w:rPr>
            </w:pPr>
          </w:p>
        </w:tc>
      </w:tr>
      <w:tr w14:paraId="4B72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4D96FD8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12</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4CEB62CD">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电熔焊机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5E31022D">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ELECTROFUSION或同等级</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62C4A2E2">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7329471F">
            <w:pPr>
              <w:jc w:val="center"/>
              <w:rPr>
                <w:color w:val="000000" w:themeColor="text1"/>
                <w14:textFill>
                  <w14:solidFill>
                    <w14:schemeClr w14:val="tx1"/>
                  </w14:solidFill>
                </w14:textFill>
              </w:rPr>
            </w:pPr>
          </w:p>
        </w:tc>
      </w:tr>
      <w:tr w14:paraId="1010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1AB63BD0">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13</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4D7B60E7">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防爆风机</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3791EDC6">
            <w:pPr>
              <w:widowControl w:val="0"/>
              <w:jc w:val="center"/>
              <w:rPr>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29AA4B72">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39AE8C0F">
            <w:pPr>
              <w:widowControl w:val="0"/>
              <w:jc w:val="center"/>
              <w:rPr>
                <w:color w:val="000000" w:themeColor="text1"/>
                <w14:textFill>
                  <w14:solidFill>
                    <w14:schemeClr w14:val="tx1"/>
                  </w14:solidFill>
                </w14:textFill>
              </w:rPr>
            </w:pPr>
          </w:p>
        </w:tc>
      </w:tr>
      <w:tr w14:paraId="7B12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6C9CD26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14</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024D8842">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潜水泵</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7F11370D">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2寸</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35CE4258">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78B19C9B">
            <w:pPr>
              <w:widowControl w:val="0"/>
              <w:jc w:val="center"/>
              <w:rPr>
                <w:color w:val="000000" w:themeColor="text1"/>
                <w14:textFill>
                  <w14:solidFill>
                    <w14:schemeClr w14:val="tx1"/>
                  </w14:solidFill>
                </w14:textFill>
              </w:rPr>
            </w:pPr>
          </w:p>
        </w:tc>
      </w:tr>
      <w:tr w14:paraId="26F2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FFFFFF"/>
            <w:vAlign w:val="center"/>
          </w:tcPr>
          <w:p w14:paraId="23A3ECEC">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15</w:t>
            </w:r>
          </w:p>
        </w:tc>
        <w:tc>
          <w:tcPr>
            <w:tcW w:w="2040" w:type="dxa"/>
            <w:tcBorders>
              <w:top w:val="single" w:color="auto" w:sz="4" w:space="0"/>
              <w:left w:val="single" w:color="auto" w:sz="4" w:space="0"/>
              <w:bottom w:val="single" w:color="auto" w:sz="4" w:space="0"/>
              <w:right w:val="single" w:color="auto" w:sz="4" w:space="0"/>
            </w:tcBorders>
            <w:shd w:val="clear" w:color="auto" w:fill="FFFFFF"/>
            <w:vAlign w:val="center"/>
          </w:tcPr>
          <w:p w14:paraId="489001A4">
            <w:pPr>
              <w:pStyle w:val="297"/>
              <w:shd w:val="clear" w:color="auto" w:fill="auto"/>
              <w:spacing w:line="240" w:lineRule="auto"/>
              <w:jc w:val="center"/>
              <w:rPr>
                <w:rFonts w:ascii="Times New Roman" w:hAnsi="Times New Roman" w:eastAsia="宋体" w:cs="Times New Roman"/>
                <w:color w:val="000000" w:themeColor="text1"/>
                <w:sz w:val="24"/>
                <w:szCs w:val="20"/>
                <w:lang w:val="en-US" w:bidi="ar-SA"/>
                <w14:textFill>
                  <w14:solidFill>
                    <w14:schemeClr w14:val="tx1"/>
                  </w14:solidFill>
                </w14:textFill>
              </w:rPr>
            </w:pPr>
            <w:r>
              <w:rPr>
                <w:rFonts w:hint="eastAsia" w:ascii="Times New Roman" w:hAnsi="Times New Roman" w:eastAsia="宋体" w:cs="Times New Roman"/>
                <w:color w:val="000000" w:themeColor="text1"/>
                <w:sz w:val="24"/>
                <w:szCs w:val="20"/>
                <w:lang w:val="en-US" w:bidi="ar-SA"/>
                <w14:textFill>
                  <w14:solidFill>
                    <w14:schemeClr w14:val="tx1"/>
                  </w14:solidFill>
                </w14:textFill>
              </w:rPr>
              <w:t>固定围挡</w:t>
            </w:r>
          </w:p>
        </w:tc>
        <w:tc>
          <w:tcPr>
            <w:tcW w:w="3136" w:type="dxa"/>
            <w:tcBorders>
              <w:top w:val="single" w:color="auto" w:sz="4" w:space="0"/>
              <w:left w:val="single" w:color="auto" w:sz="4" w:space="0"/>
              <w:bottom w:val="single" w:color="auto" w:sz="4" w:space="0"/>
              <w:right w:val="single" w:color="auto" w:sz="4" w:space="0"/>
            </w:tcBorders>
            <w:shd w:val="clear" w:color="auto" w:fill="FFFFFF"/>
            <w:vAlign w:val="center"/>
          </w:tcPr>
          <w:p w14:paraId="5308AA87">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高度不小于1米</w:t>
            </w:r>
          </w:p>
        </w:tc>
        <w:tc>
          <w:tcPr>
            <w:tcW w:w="1559" w:type="dxa"/>
            <w:tcBorders>
              <w:top w:val="single" w:color="auto" w:sz="4" w:space="0"/>
              <w:left w:val="single" w:color="auto" w:sz="4" w:space="0"/>
              <w:bottom w:val="single" w:color="auto" w:sz="4" w:space="0"/>
              <w:right w:val="single" w:color="auto" w:sz="4" w:space="0"/>
            </w:tcBorders>
            <w:shd w:val="clear" w:color="auto" w:fill="FFFFFF"/>
            <w:vAlign w:val="center"/>
          </w:tcPr>
          <w:p w14:paraId="59CC62F6">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14:paraId="4C640559">
            <w:pPr>
              <w:widowControl w:val="0"/>
              <w:jc w:val="center"/>
              <w:rPr>
                <w:color w:val="000000" w:themeColor="text1"/>
                <w14:textFill>
                  <w14:solidFill>
                    <w14:schemeClr w14:val="tx1"/>
                  </w14:solidFill>
                </w14:textFill>
              </w:rPr>
            </w:pPr>
          </w:p>
        </w:tc>
      </w:tr>
    </w:tbl>
    <w:p w14:paraId="05FEF109">
      <w:pPr>
        <w:widowControl w:val="0"/>
        <w:spacing w:line="360" w:lineRule="auto"/>
        <w:ind w:firstLine="480" w:firstLineChars="200"/>
        <w:jc w:val="both"/>
        <w:rPr>
          <w:szCs w:val="24"/>
        </w:rPr>
      </w:pPr>
      <w:r>
        <w:rPr>
          <w:rFonts w:hint="eastAsia"/>
          <w:szCs w:val="24"/>
        </w:rPr>
        <w:t>3、材料</w:t>
      </w:r>
    </w:p>
    <w:p w14:paraId="5FED25BF">
      <w:pPr>
        <w:widowControl w:val="0"/>
        <w:spacing w:line="360" w:lineRule="auto"/>
        <w:ind w:firstLine="480" w:firstLineChars="200"/>
        <w:jc w:val="both"/>
        <w:rPr>
          <w:szCs w:val="24"/>
        </w:rPr>
      </w:pPr>
      <w:r>
        <w:rPr>
          <w:rFonts w:hint="eastAsia"/>
          <w:szCs w:val="24"/>
        </w:rPr>
        <w:t>维抢修材料由甲方配备。</w:t>
      </w:r>
    </w:p>
    <w:p w14:paraId="6EC7E918">
      <w:pPr>
        <w:widowControl w:val="0"/>
        <w:spacing w:line="360" w:lineRule="auto"/>
        <w:ind w:firstLine="480" w:firstLineChars="200"/>
        <w:jc w:val="both"/>
        <w:rPr>
          <w:szCs w:val="24"/>
        </w:rPr>
      </w:pPr>
      <w:r>
        <w:rPr>
          <w:rFonts w:hint="eastAsia"/>
          <w:szCs w:val="24"/>
        </w:rPr>
        <w:t>乙方应对甲方提供的材料进行核对，如发现甲方所配备的材料数量短缺或型号、材质等存在差异，乙方应提前十日书面通知甲方。</w:t>
      </w:r>
    </w:p>
    <w:p w14:paraId="2D4B1C49">
      <w:pPr>
        <w:widowControl w:val="0"/>
        <w:spacing w:line="360" w:lineRule="auto"/>
        <w:ind w:firstLine="480" w:firstLineChars="200"/>
        <w:jc w:val="both"/>
        <w:rPr>
          <w:szCs w:val="24"/>
        </w:rPr>
      </w:pPr>
      <w:r>
        <w:rPr>
          <w:rFonts w:hint="eastAsia"/>
          <w:szCs w:val="24"/>
        </w:rPr>
        <w:t>乙方在每个服务费支付日前应向甲方出具材料使用清单。</w:t>
      </w:r>
    </w:p>
    <w:p w14:paraId="6BBDF3A1">
      <w:pPr>
        <w:widowControl w:val="0"/>
        <w:spacing w:line="360" w:lineRule="auto"/>
        <w:ind w:firstLine="480" w:firstLineChars="200"/>
        <w:jc w:val="both"/>
        <w:rPr>
          <w:szCs w:val="24"/>
        </w:rPr>
      </w:pPr>
      <w:r>
        <w:rPr>
          <w:rFonts w:hint="eastAsia"/>
          <w:szCs w:val="24"/>
        </w:rPr>
        <w:t>4、其他材料和机具</w:t>
      </w:r>
    </w:p>
    <w:p w14:paraId="5BB99593">
      <w:pPr>
        <w:widowControl w:val="0"/>
        <w:spacing w:line="360" w:lineRule="auto"/>
        <w:ind w:firstLine="480" w:firstLineChars="200"/>
        <w:jc w:val="both"/>
        <w:rPr>
          <w:szCs w:val="24"/>
        </w:rPr>
      </w:pPr>
      <w:r>
        <w:rPr>
          <w:rFonts w:hint="eastAsia"/>
          <w:szCs w:val="24"/>
        </w:rPr>
        <w:t>本合同项下，甲方负责配备的维抢修材料和机具以外的其他材料和机具应由乙方配备。(附件3)</w:t>
      </w:r>
    </w:p>
    <w:p w14:paraId="6D67469A">
      <w:pPr>
        <w:widowControl w:val="0"/>
        <w:spacing w:line="360" w:lineRule="auto"/>
        <w:ind w:firstLine="480" w:firstLineChars="200"/>
        <w:jc w:val="both"/>
        <w:rPr>
          <w:szCs w:val="24"/>
        </w:rPr>
      </w:pPr>
      <w:r>
        <w:rPr>
          <w:rFonts w:hint="eastAsia"/>
          <w:szCs w:val="24"/>
        </w:rPr>
        <w:t>五、服务</w:t>
      </w:r>
    </w:p>
    <w:p w14:paraId="5EAB9217">
      <w:pPr>
        <w:widowControl w:val="0"/>
        <w:spacing w:line="360" w:lineRule="auto"/>
        <w:ind w:firstLine="480" w:firstLineChars="200"/>
        <w:jc w:val="both"/>
        <w:rPr>
          <w:szCs w:val="24"/>
        </w:rPr>
      </w:pPr>
      <w:r>
        <w:rPr>
          <w:rFonts w:hint="eastAsia"/>
          <w:szCs w:val="24"/>
        </w:rPr>
        <w:t>1、除抢修队队长之外，乙方还应在维抢修人员中指定一名人员接收甲方的指令。</w:t>
      </w:r>
    </w:p>
    <w:p w14:paraId="4A549372">
      <w:pPr>
        <w:widowControl w:val="0"/>
        <w:spacing w:line="360" w:lineRule="auto"/>
        <w:ind w:firstLine="480" w:firstLineChars="200"/>
        <w:jc w:val="both"/>
        <w:rPr>
          <w:szCs w:val="24"/>
        </w:rPr>
      </w:pPr>
      <w:r>
        <w:rPr>
          <w:rFonts w:hint="eastAsia"/>
          <w:szCs w:val="24"/>
        </w:rPr>
        <w:t>2、维抢修的准备</w:t>
      </w:r>
    </w:p>
    <w:p w14:paraId="737EA548">
      <w:pPr>
        <w:widowControl w:val="0"/>
        <w:spacing w:line="360" w:lineRule="auto"/>
        <w:ind w:firstLine="480" w:firstLineChars="200"/>
        <w:jc w:val="both"/>
        <w:rPr>
          <w:szCs w:val="24"/>
        </w:rPr>
      </w:pPr>
      <w:r>
        <w:rPr>
          <w:rFonts w:hint="eastAsia"/>
          <w:szCs w:val="24"/>
        </w:rPr>
        <w:t>（1）对于在苏州城区范围外（如吴江、常熟）的维抢修服务，乙方人员应在接 到甲方指令后（包括书面指令、口头指令以及其他任何形式的指令）一小时内装备并集结完毕，二小时内到达甲方指定现场进行维抢修工作。</w:t>
      </w:r>
    </w:p>
    <w:p w14:paraId="03929FE0">
      <w:pPr>
        <w:widowControl w:val="0"/>
        <w:spacing w:line="360" w:lineRule="auto"/>
        <w:ind w:firstLine="480" w:firstLineChars="200"/>
        <w:jc w:val="both"/>
        <w:rPr>
          <w:szCs w:val="24"/>
        </w:rPr>
      </w:pPr>
      <w:r>
        <w:rPr>
          <w:rFonts w:hint="eastAsia"/>
          <w:szCs w:val="24"/>
        </w:rPr>
        <w:t>（2）对于在苏州城区范围内（如市区、工业园区、高新区、相城区、吴中区） 的维抢修服务，乙方人员应在接到甲方指令后（包括书面指令、口头指令以及其 他任何形式的指令）一小时内装备并集结完毕,一个半小时内到达甲方指定现场进行维抢修工作。</w:t>
      </w:r>
    </w:p>
    <w:p w14:paraId="6E24584F">
      <w:pPr>
        <w:widowControl w:val="0"/>
        <w:spacing w:line="360" w:lineRule="auto"/>
        <w:ind w:firstLine="480" w:firstLineChars="200"/>
        <w:jc w:val="both"/>
        <w:rPr>
          <w:szCs w:val="24"/>
        </w:rPr>
      </w:pPr>
      <w:r>
        <w:rPr>
          <w:rFonts w:hint="eastAsia"/>
          <w:szCs w:val="24"/>
        </w:rPr>
        <w:t>3、维抢修施工方案由乙方根据现场的情况制定，在制定时应遵循相关的法规、规范并顾及甲方的目的和要求。</w:t>
      </w:r>
    </w:p>
    <w:p w14:paraId="792C2556">
      <w:pPr>
        <w:widowControl w:val="0"/>
        <w:spacing w:line="360" w:lineRule="auto"/>
        <w:ind w:firstLine="480" w:firstLineChars="200"/>
        <w:jc w:val="both"/>
        <w:rPr>
          <w:szCs w:val="24"/>
        </w:rPr>
      </w:pPr>
      <w:r>
        <w:rPr>
          <w:rFonts w:hint="eastAsia"/>
          <w:szCs w:val="24"/>
        </w:rPr>
        <w:t>4、乙方每年应组织两次以上有针对性地演练，并接受甲方的检查。</w:t>
      </w:r>
    </w:p>
    <w:p w14:paraId="191EF99B">
      <w:pPr>
        <w:widowControl w:val="0"/>
        <w:spacing w:line="360" w:lineRule="auto"/>
        <w:ind w:firstLine="480" w:firstLineChars="200"/>
        <w:jc w:val="both"/>
        <w:rPr>
          <w:szCs w:val="24"/>
        </w:rPr>
      </w:pPr>
      <w:r>
        <w:rPr>
          <w:rFonts w:hint="eastAsia"/>
          <w:szCs w:val="24"/>
        </w:rPr>
        <w:t>5、乙方人员在施工时应严格遵守天然气管道施工规范及相关的法律、法规。</w:t>
      </w:r>
    </w:p>
    <w:p w14:paraId="43C563FE">
      <w:pPr>
        <w:widowControl w:val="0"/>
        <w:spacing w:line="360" w:lineRule="auto"/>
        <w:ind w:firstLine="480" w:firstLineChars="200"/>
        <w:jc w:val="both"/>
        <w:rPr>
          <w:szCs w:val="24"/>
        </w:rPr>
      </w:pPr>
      <w:r>
        <w:rPr>
          <w:rFonts w:hint="eastAsia"/>
          <w:szCs w:val="24"/>
        </w:rPr>
        <w:t>六、乙方人员的管理</w:t>
      </w:r>
    </w:p>
    <w:p w14:paraId="31785E3D">
      <w:pPr>
        <w:widowControl w:val="0"/>
        <w:spacing w:line="360" w:lineRule="auto"/>
        <w:ind w:firstLine="480" w:firstLineChars="200"/>
        <w:jc w:val="both"/>
        <w:rPr>
          <w:szCs w:val="24"/>
        </w:rPr>
      </w:pPr>
      <w:r>
        <w:rPr>
          <w:rFonts w:hint="eastAsia"/>
          <w:szCs w:val="24"/>
        </w:rPr>
        <w:t>1、乙方应在维抢修人员中指定一名人员为队长，由他负责对乙方的其他人员进行管理，整个维抢修队伍归甲方管理。</w:t>
      </w:r>
    </w:p>
    <w:p w14:paraId="13DF40E5">
      <w:pPr>
        <w:widowControl w:val="0"/>
        <w:spacing w:line="360" w:lineRule="auto"/>
        <w:ind w:firstLine="480" w:firstLineChars="200"/>
        <w:jc w:val="both"/>
        <w:rPr>
          <w:szCs w:val="24"/>
        </w:rPr>
      </w:pPr>
      <w:r>
        <w:rPr>
          <w:rFonts w:hint="eastAsia"/>
          <w:szCs w:val="24"/>
        </w:rPr>
        <w:t>2、乙方人员设置</w:t>
      </w:r>
      <w:r>
        <w:rPr>
          <w:rFonts w:hint="eastAsia"/>
          <w:szCs w:val="24"/>
          <w:u w:val="single"/>
        </w:rPr>
        <w:t xml:space="preserve">           （地址）</w:t>
      </w:r>
      <w:r>
        <w:rPr>
          <w:rFonts w:hint="eastAsia"/>
          <w:szCs w:val="24"/>
        </w:rPr>
        <w:t>作为维抢修基地，主要机具放置于基地内。</w:t>
      </w:r>
    </w:p>
    <w:p w14:paraId="231F2C01">
      <w:pPr>
        <w:widowControl w:val="0"/>
        <w:spacing w:line="360" w:lineRule="auto"/>
        <w:ind w:firstLine="480" w:firstLineChars="200"/>
        <w:jc w:val="both"/>
        <w:rPr>
          <w:szCs w:val="24"/>
        </w:rPr>
      </w:pPr>
      <w:r>
        <w:rPr>
          <w:rFonts w:hint="eastAsia"/>
          <w:szCs w:val="24"/>
        </w:rPr>
        <w:t>3、没有特殊原因乙方人员应在基地驻守，如乙方人员需离开基地，应事先报经甲方同意方能离开，但不得远离基地200公里以外。管工、焊工以及司机未经甲方许可不得离开苏州地区。</w:t>
      </w:r>
    </w:p>
    <w:p w14:paraId="3CDD734D">
      <w:pPr>
        <w:widowControl w:val="0"/>
        <w:spacing w:line="360" w:lineRule="auto"/>
        <w:ind w:firstLine="480" w:firstLineChars="200"/>
        <w:jc w:val="both"/>
        <w:rPr>
          <w:szCs w:val="24"/>
        </w:rPr>
      </w:pPr>
      <w:r>
        <w:rPr>
          <w:rFonts w:hint="eastAsia"/>
          <w:szCs w:val="24"/>
        </w:rPr>
        <w:t>七、违约责任</w:t>
      </w:r>
    </w:p>
    <w:p w14:paraId="71F74AD9">
      <w:pPr>
        <w:widowControl w:val="0"/>
        <w:spacing w:line="360" w:lineRule="auto"/>
        <w:ind w:firstLine="480" w:firstLineChars="200"/>
        <w:jc w:val="both"/>
        <w:rPr>
          <w:szCs w:val="24"/>
        </w:rPr>
      </w:pPr>
      <w:r>
        <w:rPr>
          <w:rFonts w:hint="eastAsia"/>
          <w:szCs w:val="24"/>
        </w:rPr>
        <w:t>1、乙方未经甲方同意，不得对其他配备的人员结构进行调整，一经发现甲方有权要求乙方立即恢复原来的配备，乙方必须服从，并向甲方支付违约金人民币贰仟元整。</w:t>
      </w:r>
    </w:p>
    <w:p w14:paraId="18B58D7C">
      <w:pPr>
        <w:widowControl w:val="0"/>
        <w:spacing w:line="360" w:lineRule="auto"/>
        <w:ind w:firstLine="480" w:firstLineChars="200"/>
        <w:jc w:val="both"/>
        <w:rPr>
          <w:szCs w:val="24"/>
        </w:rPr>
      </w:pPr>
      <w:r>
        <w:rPr>
          <w:rFonts w:hint="eastAsia"/>
          <w:szCs w:val="24"/>
        </w:rPr>
        <w:t>2、如乙方违反本合同第五条第1款第（2）项，则乙方应承担由此引起的一切损失（包括给甲方或其他第三方造成的直接和间接损失）。</w:t>
      </w:r>
    </w:p>
    <w:p w14:paraId="0A48F756">
      <w:pPr>
        <w:widowControl w:val="0"/>
        <w:spacing w:line="360" w:lineRule="auto"/>
        <w:ind w:firstLine="480" w:firstLineChars="200"/>
        <w:jc w:val="both"/>
        <w:rPr>
          <w:szCs w:val="24"/>
        </w:rPr>
      </w:pPr>
      <w:r>
        <w:rPr>
          <w:rFonts w:hint="eastAsia"/>
          <w:szCs w:val="24"/>
        </w:rPr>
        <w:t>3、如乙方违反本合同第五条第2款，则乙方应向甲方支付贰仟元作违约金，继续履行合同。</w:t>
      </w:r>
    </w:p>
    <w:p w14:paraId="1272A955">
      <w:pPr>
        <w:widowControl w:val="0"/>
        <w:spacing w:line="360" w:lineRule="auto"/>
        <w:ind w:firstLine="480" w:firstLineChars="200"/>
        <w:jc w:val="both"/>
        <w:rPr>
          <w:szCs w:val="24"/>
        </w:rPr>
      </w:pPr>
      <w:r>
        <w:rPr>
          <w:rFonts w:hint="eastAsia"/>
          <w:szCs w:val="24"/>
        </w:rPr>
        <w:t>4、如乙方违反本合同第五条第3款，则甲方可以自行根据需要配齐所需材料和机具，但由此产生的费用应由乙方承担。</w:t>
      </w:r>
    </w:p>
    <w:p w14:paraId="7DC3A1A6">
      <w:pPr>
        <w:widowControl w:val="0"/>
        <w:spacing w:line="360" w:lineRule="auto"/>
        <w:ind w:firstLine="480" w:firstLineChars="200"/>
        <w:jc w:val="both"/>
        <w:rPr>
          <w:szCs w:val="24"/>
        </w:rPr>
      </w:pPr>
      <w:r>
        <w:rPr>
          <w:rFonts w:hint="eastAsia"/>
          <w:szCs w:val="24"/>
        </w:rPr>
        <w:t>5、如乙方违反本合同第六条第2款，则乙方应向甲方支付违约金人民币伍仟元整，并承担由此给甲方或其他第三方造成直接和间接损失。</w:t>
      </w:r>
    </w:p>
    <w:p w14:paraId="75E35D27">
      <w:pPr>
        <w:widowControl w:val="0"/>
        <w:spacing w:line="360" w:lineRule="auto"/>
        <w:ind w:firstLine="480" w:firstLineChars="200"/>
        <w:jc w:val="both"/>
        <w:rPr>
          <w:szCs w:val="24"/>
        </w:rPr>
      </w:pPr>
      <w:r>
        <w:rPr>
          <w:rFonts w:hint="eastAsia"/>
          <w:szCs w:val="24"/>
        </w:rPr>
        <w:t>6、如乙方违反本合同第七条第3款，则乙方除按照甲方要求恢复人员外，还应向甲方支付违约金人民币伍仟元整。</w:t>
      </w:r>
    </w:p>
    <w:p w14:paraId="15102F95">
      <w:pPr>
        <w:widowControl w:val="0"/>
        <w:spacing w:line="360" w:lineRule="auto"/>
        <w:ind w:firstLine="480" w:firstLineChars="200"/>
        <w:jc w:val="both"/>
        <w:rPr>
          <w:szCs w:val="24"/>
        </w:rPr>
      </w:pPr>
      <w:r>
        <w:rPr>
          <w:rFonts w:hint="eastAsia"/>
          <w:szCs w:val="24"/>
        </w:rPr>
        <w:t>7、乙方如擅自提前解除或终止本合同，</w:t>
      </w:r>
      <w:bookmarkStart w:id="6" w:name="_GoBack"/>
      <w:bookmarkEnd w:id="6"/>
      <w:r>
        <w:rPr>
          <w:rFonts w:hint="eastAsia"/>
          <w:szCs w:val="24"/>
        </w:rPr>
        <w:t>则甲方除立即终止支付服务费外，还有权要求乙方支付</w:t>
      </w:r>
      <w:r>
        <w:rPr>
          <w:rFonts w:hint="eastAsia"/>
          <w:szCs w:val="24"/>
          <w:lang w:val="en-US" w:eastAsia="zh-CN"/>
        </w:rPr>
        <w:t>违</w:t>
      </w:r>
      <w:r>
        <w:rPr>
          <w:rFonts w:hint="eastAsia"/>
          <w:szCs w:val="24"/>
        </w:rPr>
        <w:t>约金壹万元整。</w:t>
      </w:r>
    </w:p>
    <w:p w14:paraId="39F16D10">
      <w:pPr>
        <w:widowControl w:val="0"/>
        <w:spacing w:line="360" w:lineRule="auto"/>
        <w:ind w:firstLine="480" w:firstLineChars="200"/>
        <w:jc w:val="both"/>
        <w:rPr>
          <w:szCs w:val="24"/>
        </w:rPr>
      </w:pPr>
      <w:r>
        <w:rPr>
          <w:rFonts w:hint="eastAsia"/>
          <w:szCs w:val="24"/>
        </w:rPr>
        <w:t>八、合同期限</w:t>
      </w:r>
      <w:r>
        <w:rPr>
          <w:rFonts w:hint="eastAsia"/>
          <w:szCs w:val="24"/>
        </w:rPr>
        <w:tab/>
      </w:r>
    </w:p>
    <w:p w14:paraId="640DF732">
      <w:pPr>
        <w:widowControl w:val="0"/>
        <w:spacing w:line="360" w:lineRule="auto"/>
        <w:ind w:firstLine="480" w:firstLineChars="200"/>
        <w:jc w:val="both"/>
        <w:rPr>
          <w:szCs w:val="24"/>
        </w:rPr>
      </w:pPr>
      <w:r>
        <w:rPr>
          <w:rFonts w:hint="eastAsia"/>
          <w:szCs w:val="24"/>
        </w:rPr>
        <w:t>本合同期限为</w:t>
      </w:r>
      <w:r>
        <w:rPr>
          <w:rFonts w:hint="eastAsia"/>
          <w:szCs w:val="24"/>
          <w:u w:val="single"/>
        </w:rPr>
        <w:t>202</w:t>
      </w:r>
      <w:r>
        <w:rPr>
          <w:szCs w:val="24"/>
          <w:u w:val="single"/>
        </w:rPr>
        <w:t>4</w:t>
      </w:r>
      <w:r>
        <w:rPr>
          <w:rFonts w:hint="eastAsia"/>
          <w:szCs w:val="24"/>
          <w:u w:val="single"/>
        </w:rPr>
        <w:t>年 月  日</w:t>
      </w:r>
      <w:r>
        <w:rPr>
          <w:rFonts w:hint="eastAsia"/>
          <w:szCs w:val="24"/>
        </w:rPr>
        <w:t>至</w:t>
      </w:r>
      <w:r>
        <w:rPr>
          <w:rFonts w:hint="eastAsia"/>
          <w:szCs w:val="24"/>
          <w:u w:val="single"/>
        </w:rPr>
        <w:t>202</w:t>
      </w:r>
      <w:r>
        <w:rPr>
          <w:szCs w:val="24"/>
          <w:u w:val="single"/>
        </w:rPr>
        <w:t>5</w:t>
      </w:r>
      <w:r>
        <w:rPr>
          <w:rFonts w:hint="eastAsia"/>
          <w:szCs w:val="24"/>
          <w:u w:val="single"/>
        </w:rPr>
        <w:t>年 月  日</w:t>
      </w:r>
      <w:r>
        <w:rPr>
          <w:rFonts w:hint="eastAsia"/>
          <w:szCs w:val="24"/>
        </w:rPr>
        <w:t>。</w:t>
      </w:r>
    </w:p>
    <w:p w14:paraId="4460060B">
      <w:pPr>
        <w:widowControl w:val="0"/>
        <w:spacing w:line="360" w:lineRule="auto"/>
        <w:ind w:firstLine="480" w:firstLineChars="200"/>
        <w:jc w:val="both"/>
        <w:rPr>
          <w:szCs w:val="24"/>
        </w:rPr>
      </w:pPr>
      <w:r>
        <w:rPr>
          <w:rFonts w:hint="eastAsia"/>
          <w:szCs w:val="24"/>
        </w:rPr>
        <w:t>十、争议的解决</w:t>
      </w:r>
    </w:p>
    <w:p w14:paraId="4A3D4DD8">
      <w:pPr>
        <w:widowControl w:val="0"/>
        <w:spacing w:line="360" w:lineRule="auto"/>
        <w:ind w:firstLine="480" w:firstLineChars="200"/>
        <w:jc w:val="both"/>
        <w:rPr>
          <w:szCs w:val="24"/>
        </w:rPr>
      </w:pPr>
      <w:r>
        <w:rPr>
          <w:rFonts w:hint="eastAsia"/>
          <w:szCs w:val="24"/>
        </w:rPr>
        <w:t>如就本合同的履行产生任何争议，双方应协商解决，协商不成的，任何一方都有权提交甲方所在地人民法院解决。</w:t>
      </w:r>
    </w:p>
    <w:p w14:paraId="571EA109">
      <w:pPr>
        <w:widowControl w:val="0"/>
        <w:spacing w:line="360" w:lineRule="auto"/>
        <w:ind w:firstLine="480" w:firstLineChars="200"/>
        <w:jc w:val="both"/>
        <w:rPr>
          <w:szCs w:val="24"/>
        </w:rPr>
      </w:pPr>
      <w:r>
        <w:rPr>
          <w:rFonts w:hint="eastAsia"/>
          <w:szCs w:val="24"/>
        </w:rPr>
        <w:t>一般条款</w:t>
      </w:r>
    </w:p>
    <w:p w14:paraId="1B933082">
      <w:pPr>
        <w:widowControl w:val="0"/>
        <w:spacing w:line="360" w:lineRule="auto"/>
        <w:ind w:firstLine="480" w:firstLineChars="200"/>
        <w:jc w:val="both"/>
        <w:rPr>
          <w:szCs w:val="24"/>
        </w:rPr>
      </w:pPr>
      <w:r>
        <w:rPr>
          <w:rFonts w:hint="eastAsia"/>
          <w:szCs w:val="24"/>
        </w:rPr>
        <w:t>本合同一式陆份，双方各执叁份，自双方签订之日起生效。</w:t>
      </w:r>
    </w:p>
    <w:p w14:paraId="11D81CFC">
      <w:pPr>
        <w:pStyle w:val="2"/>
        <w:ind w:firstLine="0" w:firstLineChars="0"/>
      </w:pPr>
    </w:p>
    <w:p w14:paraId="7B39246E">
      <w:pPr>
        <w:widowControl w:val="0"/>
        <w:tabs>
          <w:tab w:val="left" w:pos="0"/>
        </w:tabs>
        <w:spacing w:line="360" w:lineRule="auto"/>
        <w:jc w:val="both"/>
        <w:rPr>
          <w:rFonts w:ascii="宋体" w:hAnsi="宋体"/>
          <w:spacing w:val="-10"/>
          <w:kern w:val="2"/>
          <w:szCs w:val="24"/>
        </w:rPr>
      </w:pPr>
      <w:r>
        <w:rPr>
          <w:rFonts w:ascii="宋体" w:hAnsi="宋体"/>
          <w:kern w:val="2"/>
          <w:szCs w:val="24"/>
        </w:rPr>
        <w:t xml:space="preserve">甲方（签章）：      </w:t>
      </w:r>
      <w:r>
        <w:rPr>
          <w:rFonts w:hint="eastAsia" w:ascii="宋体" w:hAnsi="宋体"/>
          <w:kern w:val="2"/>
          <w:szCs w:val="24"/>
        </w:rPr>
        <w:t xml:space="preserve">    </w:t>
      </w:r>
      <w:r>
        <w:rPr>
          <w:rFonts w:ascii="宋体" w:hAnsi="宋体"/>
          <w:kern w:val="2"/>
          <w:szCs w:val="24"/>
        </w:rPr>
        <w:t xml:space="preserve">                  乙方（签章）：</w:t>
      </w:r>
      <w:r>
        <w:rPr>
          <w:rFonts w:hint="eastAsia" w:ascii="宋体" w:hAnsi="宋体"/>
          <w:kern w:val="2"/>
          <w:szCs w:val="24"/>
        </w:rPr>
        <w:t xml:space="preserve">           </w:t>
      </w:r>
      <w:r>
        <w:rPr>
          <w:rFonts w:ascii="宋体" w:hAnsi="宋体"/>
          <w:spacing w:val="-10"/>
          <w:kern w:val="2"/>
          <w:szCs w:val="24"/>
        </w:rPr>
        <w:t xml:space="preserve">        </w:t>
      </w:r>
    </w:p>
    <w:p w14:paraId="2304D2ED">
      <w:pPr>
        <w:widowControl w:val="0"/>
        <w:tabs>
          <w:tab w:val="left" w:pos="0"/>
        </w:tabs>
        <w:spacing w:line="360" w:lineRule="auto"/>
        <w:jc w:val="both"/>
        <w:rPr>
          <w:rFonts w:ascii="宋体" w:hAnsi="宋体"/>
          <w:kern w:val="2"/>
          <w:szCs w:val="24"/>
        </w:rPr>
      </w:pPr>
      <w:r>
        <w:rPr>
          <w:rFonts w:hint="eastAsia" w:ascii="宋体" w:hAnsi="宋体"/>
          <w:kern w:val="2"/>
          <w:szCs w:val="24"/>
          <w:lang w:val="zh-CN"/>
        </w:rPr>
        <w:t>法定代表人</w:t>
      </w:r>
      <w:r>
        <w:rPr>
          <w:rFonts w:ascii="宋体" w:hAnsi="宋体"/>
          <w:kern w:val="2"/>
          <w:szCs w:val="24"/>
        </w:rPr>
        <w:t xml:space="preserve">                </w:t>
      </w:r>
      <w:r>
        <w:rPr>
          <w:rFonts w:hint="eastAsia" w:ascii="宋体" w:hAnsi="宋体"/>
          <w:kern w:val="2"/>
          <w:szCs w:val="24"/>
        </w:rPr>
        <w:t xml:space="preserve">  </w:t>
      </w:r>
      <w:r>
        <w:rPr>
          <w:rFonts w:ascii="宋体" w:hAnsi="宋体"/>
          <w:kern w:val="2"/>
          <w:szCs w:val="24"/>
        </w:rPr>
        <w:t xml:space="preserve">             </w:t>
      </w:r>
      <w:r>
        <w:rPr>
          <w:rFonts w:hint="eastAsia" w:ascii="宋体" w:hAnsi="宋体"/>
          <w:kern w:val="2"/>
          <w:szCs w:val="24"/>
          <w:lang w:val="zh-CN"/>
        </w:rPr>
        <w:t>法定代表人</w:t>
      </w:r>
      <w:r>
        <w:rPr>
          <w:rFonts w:hint="eastAsia" w:ascii="宋体" w:hAnsi="宋体"/>
          <w:kern w:val="2"/>
          <w:szCs w:val="24"/>
        </w:rPr>
        <w:t xml:space="preserve">              </w:t>
      </w:r>
    </w:p>
    <w:p w14:paraId="6B0D0C78">
      <w:pPr>
        <w:widowControl w:val="0"/>
        <w:tabs>
          <w:tab w:val="left" w:pos="0"/>
        </w:tabs>
        <w:spacing w:line="360" w:lineRule="auto"/>
        <w:jc w:val="both"/>
        <w:rPr>
          <w:rFonts w:ascii="宋体" w:hAnsi="宋体"/>
          <w:kern w:val="2"/>
          <w:szCs w:val="24"/>
        </w:rPr>
      </w:pPr>
      <w:r>
        <w:rPr>
          <w:rFonts w:hint="eastAsia" w:ascii="宋体" w:hAnsi="宋体"/>
          <w:kern w:val="2"/>
          <w:szCs w:val="24"/>
          <w:lang w:val="zh-CN"/>
        </w:rPr>
        <w:t>或其</w:t>
      </w:r>
      <w:r>
        <w:rPr>
          <w:rFonts w:ascii="宋体" w:hAnsi="宋体"/>
          <w:kern w:val="2"/>
          <w:szCs w:val="24"/>
        </w:rPr>
        <w:t xml:space="preserve">                        </w:t>
      </w:r>
      <w:r>
        <w:rPr>
          <w:rFonts w:hint="eastAsia" w:ascii="宋体" w:hAnsi="宋体"/>
          <w:kern w:val="2"/>
          <w:szCs w:val="24"/>
        </w:rPr>
        <w:t xml:space="preserve"> </w:t>
      </w:r>
      <w:r>
        <w:rPr>
          <w:rFonts w:ascii="宋体" w:hAnsi="宋体"/>
          <w:kern w:val="2"/>
          <w:szCs w:val="24"/>
        </w:rPr>
        <w:t xml:space="preserve">            </w:t>
      </w:r>
      <w:r>
        <w:rPr>
          <w:rFonts w:hint="eastAsia" w:ascii="宋体" w:hAnsi="宋体"/>
          <w:kern w:val="2"/>
          <w:szCs w:val="24"/>
          <w:lang w:val="zh-CN"/>
        </w:rPr>
        <w:t xml:space="preserve">或其                   </w:t>
      </w:r>
      <w:r>
        <w:rPr>
          <w:rFonts w:ascii="宋体" w:hAnsi="宋体"/>
          <w:kern w:val="2"/>
          <w:szCs w:val="24"/>
          <w:lang w:val="zh-CN"/>
        </w:rPr>
        <w:t xml:space="preserve"> </w:t>
      </w:r>
    </w:p>
    <w:p w14:paraId="7E625DA6">
      <w:pPr>
        <w:widowControl w:val="0"/>
        <w:tabs>
          <w:tab w:val="left" w:pos="0"/>
        </w:tabs>
        <w:spacing w:line="360" w:lineRule="auto"/>
        <w:jc w:val="both"/>
        <w:rPr>
          <w:rFonts w:ascii="宋体" w:hAnsi="宋体"/>
          <w:kern w:val="2"/>
          <w:szCs w:val="24"/>
        </w:rPr>
      </w:pPr>
      <w:r>
        <w:rPr>
          <w:rFonts w:hint="eastAsia" w:ascii="宋体" w:hAnsi="宋体"/>
          <w:kern w:val="2"/>
          <w:szCs w:val="24"/>
        </w:rPr>
        <w:t xml:space="preserve">授权委托人 </w:t>
      </w:r>
      <w:r>
        <w:rPr>
          <w:rFonts w:ascii="宋体" w:hAnsi="宋体"/>
          <w:kern w:val="2"/>
          <w:szCs w:val="24"/>
        </w:rPr>
        <w:t xml:space="preserve">                              </w:t>
      </w:r>
      <w:r>
        <w:rPr>
          <w:rFonts w:hint="eastAsia" w:ascii="宋体" w:hAnsi="宋体"/>
          <w:kern w:val="2"/>
          <w:szCs w:val="24"/>
        </w:rPr>
        <w:t>授权委托人</w:t>
      </w:r>
    </w:p>
    <w:p w14:paraId="6CA49CD0">
      <w:pPr>
        <w:pStyle w:val="29"/>
        <w:spacing w:line="360" w:lineRule="auto"/>
        <w:rPr>
          <w:szCs w:val="24"/>
        </w:rPr>
      </w:pPr>
      <w:r>
        <w:rPr>
          <w:rFonts w:hAnsi="宋体" w:eastAsia="宋体"/>
          <w:kern w:val="2"/>
          <w:sz w:val="24"/>
          <w:szCs w:val="24"/>
        </w:rPr>
        <w:t xml:space="preserve">年  </w:t>
      </w:r>
      <w:r>
        <w:rPr>
          <w:rFonts w:hint="eastAsia" w:hAnsi="宋体" w:eastAsia="宋体"/>
          <w:kern w:val="2"/>
          <w:sz w:val="24"/>
          <w:szCs w:val="24"/>
        </w:rPr>
        <w:t xml:space="preserve">  </w:t>
      </w:r>
      <w:r>
        <w:rPr>
          <w:rFonts w:hAnsi="宋体" w:eastAsia="宋体"/>
          <w:kern w:val="2"/>
          <w:sz w:val="24"/>
          <w:szCs w:val="24"/>
        </w:rPr>
        <w:t xml:space="preserve"> 月  </w:t>
      </w:r>
      <w:r>
        <w:rPr>
          <w:rFonts w:hint="eastAsia" w:hAnsi="宋体" w:eastAsia="宋体"/>
          <w:kern w:val="2"/>
          <w:sz w:val="24"/>
          <w:szCs w:val="24"/>
        </w:rPr>
        <w:t xml:space="preserve">  </w:t>
      </w:r>
      <w:r>
        <w:rPr>
          <w:rFonts w:hAnsi="宋体" w:eastAsia="宋体"/>
          <w:kern w:val="2"/>
          <w:sz w:val="24"/>
          <w:szCs w:val="24"/>
        </w:rPr>
        <w:t xml:space="preserve"> 日          </w:t>
      </w:r>
      <w:r>
        <w:rPr>
          <w:rFonts w:hint="eastAsia" w:hAnsi="宋体" w:eastAsia="宋体"/>
          <w:kern w:val="2"/>
          <w:sz w:val="24"/>
          <w:szCs w:val="24"/>
        </w:rPr>
        <w:t xml:space="preserve"> </w:t>
      </w:r>
      <w:r>
        <w:rPr>
          <w:rFonts w:hAnsi="宋体" w:eastAsia="宋体"/>
          <w:kern w:val="2"/>
          <w:sz w:val="24"/>
          <w:szCs w:val="24"/>
        </w:rPr>
        <w:t xml:space="preserve">              年</w:t>
      </w:r>
      <w:r>
        <w:rPr>
          <w:rFonts w:hint="eastAsia" w:hAnsi="宋体" w:eastAsia="宋体"/>
          <w:kern w:val="2"/>
          <w:sz w:val="24"/>
          <w:szCs w:val="24"/>
        </w:rPr>
        <w:t xml:space="preserve">  </w:t>
      </w:r>
      <w:r>
        <w:rPr>
          <w:rFonts w:hAnsi="宋体" w:eastAsia="宋体"/>
          <w:kern w:val="2"/>
          <w:sz w:val="24"/>
          <w:szCs w:val="24"/>
        </w:rPr>
        <w:t xml:space="preserve">   月  </w:t>
      </w:r>
      <w:r>
        <w:rPr>
          <w:rFonts w:hint="eastAsia" w:hAnsi="宋体" w:eastAsia="宋体"/>
          <w:kern w:val="2"/>
          <w:sz w:val="24"/>
          <w:szCs w:val="24"/>
        </w:rPr>
        <w:t xml:space="preserve">  </w:t>
      </w:r>
      <w:r>
        <w:rPr>
          <w:rFonts w:hAnsi="宋体" w:eastAsia="宋体"/>
          <w:kern w:val="2"/>
          <w:sz w:val="24"/>
          <w:szCs w:val="24"/>
        </w:rPr>
        <w:t xml:space="preserve"> 日</w:t>
      </w:r>
    </w:p>
    <w:p w14:paraId="5875B0C4">
      <w:pPr>
        <w:pStyle w:val="29"/>
        <w:spacing w:line="360" w:lineRule="auto"/>
        <w:jc w:val="center"/>
        <w:rPr>
          <w:rFonts w:ascii="黑体" w:hAnsi="黑体" w:eastAsia="黑体"/>
          <w:b/>
          <w:bCs/>
          <w:spacing w:val="20"/>
          <w:sz w:val="30"/>
          <w:szCs w:val="30"/>
        </w:rPr>
      </w:pPr>
    </w:p>
    <w:p w14:paraId="236BF489">
      <w:pPr>
        <w:pStyle w:val="29"/>
        <w:spacing w:line="360" w:lineRule="auto"/>
        <w:jc w:val="center"/>
        <w:rPr>
          <w:rFonts w:ascii="黑体" w:hAnsi="黑体" w:eastAsia="黑体"/>
          <w:b/>
          <w:bCs/>
          <w:spacing w:val="20"/>
          <w:sz w:val="30"/>
          <w:szCs w:val="30"/>
        </w:rPr>
      </w:pPr>
    </w:p>
    <w:p w14:paraId="215C4DFC">
      <w:pPr>
        <w:pStyle w:val="29"/>
        <w:spacing w:line="360" w:lineRule="auto"/>
        <w:jc w:val="center"/>
        <w:rPr>
          <w:rFonts w:ascii="黑体" w:hAnsi="黑体" w:eastAsia="黑体"/>
          <w:b/>
          <w:bCs/>
          <w:spacing w:val="20"/>
          <w:sz w:val="30"/>
          <w:szCs w:val="30"/>
        </w:rPr>
      </w:pPr>
    </w:p>
    <w:p w14:paraId="2629136E">
      <w:pPr>
        <w:pStyle w:val="29"/>
        <w:spacing w:line="360" w:lineRule="auto"/>
        <w:jc w:val="center"/>
        <w:rPr>
          <w:rFonts w:ascii="黑体" w:hAnsi="黑体" w:eastAsia="黑体"/>
          <w:b/>
          <w:bCs/>
          <w:spacing w:val="20"/>
          <w:sz w:val="30"/>
          <w:szCs w:val="30"/>
        </w:rPr>
      </w:pPr>
      <w:r>
        <w:rPr>
          <w:rFonts w:hint="eastAsia" w:ascii="黑体" w:hAnsi="黑体" w:eastAsia="黑体"/>
          <w:b/>
          <w:bCs/>
          <w:spacing w:val="20"/>
          <w:sz w:val="30"/>
          <w:szCs w:val="30"/>
        </w:rPr>
        <w:t>第六章 评标办法及评分标准</w:t>
      </w:r>
    </w:p>
    <w:p w14:paraId="57D3E2EF">
      <w:pPr>
        <w:pStyle w:val="32"/>
        <w:spacing w:line="400" w:lineRule="exact"/>
        <w:ind w:firstLine="480" w:firstLineChars="200"/>
        <w:rPr>
          <w:rFonts w:eastAsia="宋体"/>
          <w:szCs w:val="24"/>
        </w:rPr>
      </w:pPr>
      <w:r>
        <w:rPr>
          <w:rFonts w:hint="eastAsia" w:eastAsia="宋体"/>
          <w:szCs w:val="24"/>
        </w:rPr>
        <w:t>一、评标办法：</w:t>
      </w:r>
    </w:p>
    <w:p w14:paraId="62459D8A">
      <w:pPr>
        <w:pStyle w:val="32"/>
        <w:spacing w:line="400" w:lineRule="exact"/>
        <w:ind w:firstLine="480" w:firstLineChars="200"/>
        <w:rPr>
          <w:rFonts w:eastAsia="宋体"/>
          <w:szCs w:val="24"/>
        </w:rPr>
      </w:pPr>
      <w:r>
        <w:rPr>
          <w:rFonts w:hint="eastAsia" w:eastAsia="宋体"/>
          <w:szCs w:val="24"/>
        </w:rPr>
        <w:t>1、本次招标评标采用为综合评分法，即在满足招标文件实质性要求前提下，按照招标文件中规定的评分标准和各项因素进行综合评审后，以评标总得分最高的投标人作为相应标段的中标候选人。</w:t>
      </w:r>
    </w:p>
    <w:p w14:paraId="48474FD2">
      <w:pPr>
        <w:pStyle w:val="32"/>
        <w:spacing w:line="400" w:lineRule="exact"/>
        <w:ind w:firstLine="480" w:firstLineChars="200"/>
        <w:rPr>
          <w:rFonts w:eastAsia="宋体"/>
          <w:szCs w:val="24"/>
        </w:rPr>
      </w:pPr>
      <w:r>
        <w:rPr>
          <w:rFonts w:hint="eastAsia" w:eastAsia="宋体"/>
          <w:szCs w:val="24"/>
        </w:rPr>
        <w:t>2、评标委员会各成员独立对每个进入打分程序的有效投标人的标书技术部分以打分的形式进行评审和评价（计算结果均四舍五入保留两位小数）。对评委的评分（除价格分外）进行统计汇总，直接算术平均计算得分。</w:t>
      </w:r>
    </w:p>
    <w:p w14:paraId="796D0223">
      <w:pPr>
        <w:pStyle w:val="32"/>
        <w:spacing w:line="400" w:lineRule="exact"/>
        <w:ind w:firstLine="480" w:firstLineChars="200"/>
        <w:rPr>
          <w:rFonts w:eastAsia="宋体"/>
          <w:szCs w:val="24"/>
        </w:rPr>
      </w:pPr>
      <w:r>
        <w:rPr>
          <w:rFonts w:hint="eastAsia" w:eastAsia="宋体"/>
          <w:szCs w:val="24"/>
        </w:rPr>
        <w:t>3、对评委的评分（除价格分外）进行统计汇总，计算出每个投标人的得分，加上价格得分即为每个投标人的综合得分。</w:t>
      </w:r>
    </w:p>
    <w:p w14:paraId="5FAFDEC5">
      <w:pPr>
        <w:pStyle w:val="32"/>
        <w:spacing w:line="400" w:lineRule="exact"/>
        <w:ind w:firstLine="480" w:firstLineChars="200"/>
        <w:rPr>
          <w:rFonts w:eastAsia="宋体"/>
          <w:szCs w:val="24"/>
        </w:rPr>
      </w:pPr>
      <w:r>
        <w:rPr>
          <w:rFonts w:hint="eastAsia" w:eastAsia="宋体"/>
          <w:szCs w:val="24"/>
        </w:rPr>
        <w:t>二、评分标准：</w:t>
      </w:r>
    </w:p>
    <w:p w14:paraId="2C5122ED">
      <w:pPr>
        <w:spacing w:line="400" w:lineRule="exact"/>
        <w:ind w:firstLine="482" w:firstLineChars="200"/>
        <w:rPr>
          <w:rFonts w:ascii="宋体" w:hAnsi="宋体"/>
          <w:b/>
          <w:bCs/>
          <w:szCs w:val="24"/>
        </w:rPr>
      </w:pPr>
      <w:r>
        <w:rPr>
          <w:rFonts w:hint="eastAsia" w:ascii="宋体" w:hAnsi="宋体"/>
          <w:b/>
          <w:bCs/>
          <w:szCs w:val="24"/>
        </w:rPr>
        <w:t>(一)价格（30分)</w:t>
      </w:r>
      <w:r>
        <w:rPr>
          <w:rFonts w:ascii="宋体" w:hAnsi="宋体"/>
          <w:b/>
          <w:bCs/>
          <w:szCs w:val="24"/>
        </w:rPr>
        <w:t xml:space="preserve"> </w:t>
      </w:r>
    </w:p>
    <w:p w14:paraId="42C1D9AC">
      <w:pPr>
        <w:spacing w:line="400" w:lineRule="exact"/>
        <w:ind w:firstLine="480" w:firstLineChars="200"/>
        <w:rPr>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t>1、维抢修</w:t>
      </w:r>
      <w:r>
        <w:rPr>
          <w:rFonts w:hint="eastAsia"/>
          <w:color w:val="000000" w:themeColor="text1"/>
          <w:kern w:val="2"/>
          <w:szCs w:val="24"/>
          <w:lang w:val="zh-CN"/>
          <w14:textFill>
            <w14:solidFill>
              <w14:schemeClr w14:val="tx1"/>
            </w14:solidFill>
          </w14:textFill>
        </w:rPr>
        <w:t>队伍</w:t>
      </w:r>
      <w:r>
        <w:rPr>
          <w:rFonts w:hint="eastAsia"/>
          <w:color w:val="000000" w:themeColor="text1"/>
          <w:kern w:val="2"/>
          <w:szCs w:val="24"/>
          <w14:textFill>
            <w14:solidFill>
              <w14:schemeClr w14:val="tx1"/>
            </w14:solidFill>
          </w14:textFill>
        </w:rPr>
        <w:t>基础服务费（1</w:t>
      </w:r>
      <w:r>
        <w:rPr>
          <w:color w:val="000000" w:themeColor="text1"/>
          <w:kern w:val="2"/>
          <w:szCs w:val="24"/>
          <w14:textFill>
            <w14:solidFill>
              <w14:schemeClr w14:val="tx1"/>
            </w14:solidFill>
          </w14:textFill>
        </w:rPr>
        <w:t>0</w:t>
      </w:r>
      <w:r>
        <w:rPr>
          <w:rFonts w:hint="eastAsia"/>
          <w:color w:val="000000" w:themeColor="text1"/>
          <w:kern w:val="2"/>
          <w:szCs w:val="24"/>
          <w14:textFill>
            <w14:solidFill>
              <w14:schemeClr w14:val="tx1"/>
            </w14:solidFill>
          </w14:textFill>
        </w:rPr>
        <w:t>分）</w:t>
      </w:r>
    </w:p>
    <w:p w14:paraId="1A359C0A">
      <w:pPr>
        <w:spacing w:line="400" w:lineRule="exact"/>
        <w:ind w:firstLine="480" w:firstLineChars="200"/>
        <w:rPr>
          <w:rFonts w:ascii="宋体" w:hAnsi="宋体"/>
          <w:szCs w:val="24"/>
        </w:rPr>
      </w:pPr>
      <w:r>
        <w:rPr>
          <w:rFonts w:hint="eastAsia" w:ascii="宋体" w:hAnsi="宋体"/>
          <w:szCs w:val="24"/>
        </w:rPr>
        <w:t>评标基准价：</w:t>
      </w:r>
    </w:p>
    <w:p w14:paraId="636EDCC6">
      <w:pPr>
        <w:spacing w:line="400" w:lineRule="exact"/>
        <w:ind w:firstLine="480" w:firstLineChars="200"/>
        <w:rPr>
          <w:rFonts w:ascii="宋体" w:hAnsi="宋体"/>
        </w:rPr>
      </w:pPr>
      <w:r>
        <w:rPr>
          <w:rFonts w:hint="eastAsia"/>
          <w:bCs/>
          <w:color w:val="000000"/>
        </w:rPr>
        <w:t>价格分的计算，以所有满足招标文件报价要求，通过初步评审合格的投标人的投标报价中的算术平均值*0.98作为评标基准价（如果投标人≧10家，去掉最高报价和最低报价后的算术平均值*0.98作为评标基准价），通过初步评审的有效投标文件的投标报价与评标基准价相等的得满分</w:t>
      </w:r>
      <w:r>
        <w:rPr>
          <w:bCs/>
          <w:color w:val="000000"/>
        </w:rPr>
        <w:t>10</w:t>
      </w:r>
      <w:r>
        <w:rPr>
          <w:rFonts w:hint="eastAsia"/>
          <w:bCs/>
          <w:color w:val="000000"/>
        </w:rPr>
        <w:t>分。在此基础上，投标报价与评标基准价相比，每增加1%扣0.6分，每减少1%扣0.3分，扣完为止。中间按插入法计算，小数点保留两位。</w:t>
      </w:r>
    </w:p>
    <w:p w14:paraId="25F45A4A">
      <w:pPr>
        <w:spacing w:line="400" w:lineRule="exact"/>
        <w:ind w:firstLine="480" w:firstLineChars="200"/>
        <w:rPr>
          <w:color w:val="000000" w:themeColor="text1"/>
          <w:kern w:val="2"/>
          <w:szCs w:val="24"/>
          <w14:textFill>
            <w14:solidFill>
              <w14:schemeClr w14:val="tx1"/>
            </w14:solidFill>
          </w14:textFill>
        </w:rPr>
      </w:pPr>
      <w:r>
        <w:rPr>
          <w:rFonts w:hint="eastAsia" w:ascii="宋体" w:hAnsi="宋体"/>
          <w:szCs w:val="24"/>
        </w:rPr>
        <w:t>2、</w:t>
      </w:r>
      <w:r>
        <w:rPr>
          <w:rFonts w:hint="eastAsia"/>
          <w:color w:val="000000" w:themeColor="text1"/>
          <w:kern w:val="2"/>
          <w:szCs w:val="24"/>
          <w14:textFill>
            <w14:solidFill>
              <w14:schemeClr w14:val="tx1"/>
            </w14:solidFill>
          </w14:textFill>
        </w:rPr>
        <w:t>工时费（1</w:t>
      </w:r>
      <w:r>
        <w:rPr>
          <w:color w:val="000000" w:themeColor="text1"/>
          <w:kern w:val="2"/>
          <w:szCs w:val="24"/>
          <w14:textFill>
            <w14:solidFill>
              <w14:schemeClr w14:val="tx1"/>
            </w14:solidFill>
          </w14:textFill>
        </w:rPr>
        <w:t>0</w:t>
      </w:r>
      <w:r>
        <w:rPr>
          <w:rFonts w:hint="eastAsia"/>
          <w:color w:val="000000" w:themeColor="text1"/>
          <w:kern w:val="2"/>
          <w:szCs w:val="24"/>
          <w14:textFill>
            <w14:solidFill>
              <w14:schemeClr w14:val="tx1"/>
            </w14:solidFill>
          </w14:textFill>
        </w:rPr>
        <w:t>分）</w:t>
      </w:r>
    </w:p>
    <w:p w14:paraId="2F2F4AE7">
      <w:pPr>
        <w:spacing w:line="400" w:lineRule="exact"/>
        <w:ind w:firstLine="480" w:firstLineChars="200"/>
        <w:rPr>
          <w:rFonts w:ascii="宋体" w:hAnsi="宋体"/>
          <w:szCs w:val="24"/>
        </w:rPr>
      </w:pPr>
      <w:r>
        <w:rPr>
          <w:rFonts w:hint="eastAsia" w:ascii="宋体" w:hAnsi="宋体"/>
          <w:szCs w:val="24"/>
        </w:rPr>
        <w:t>评标基准价：</w:t>
      </w:r>
    </w:p>
    <w:p w14:paraId="507235A5">
      <w:pPr>
        <w:spacing w:line="400" w:lineRule="exact"/>
        <w:ind w:firstLine="480" w:firstLineChars="200"/>
        <w:rPr>
          <w:rFonts w:ascii="宋体" w:hAnsi="宋体"/>
        </w:rPr>
      </w:pPr>
      <w:r>
        <w:rPr>
          <w:rFonts w:hint="eastAsia"/>
          <w:bCs/>
          <w:color w:val="000000"/>
        </w:rPr>
        <w:t>价格分的计算，以所有满足招标文件报价要求，通过初步评审合格的投标人的投标报价中的算术平均值*0.98作为评标基准价（如果投标人≧10家，去掉最高报价和最低报价后的算术平均值*0.98作为评标基准价），通过初步评审的有效投标文件的投标报价与评标基准价相等的得满分</w:t>
      </w:r>
      <w:r>
        <w:rPr>
          <w:bCs/>
          <w:color w:val="000000"/>
        </w:rPr>
        <w:t>10</w:t>
      </w:r>
      <w:r>
        <w:rPr>
          <w:rFonts w:hint="eastAsia"/>
          <w:bCs/>
          <w:color w:val="000000"/>
        </w:rPr>
        <w:t>分。在此基础上，投标报价与评标基准价相比，每增加1%扣0.6分，每减少1%扣0.3分，扣完为止。中间按插入法计算，小数点保留两位。</w:t>
      </w:r>
    </w:p>
    <w:p w14:paraId="5DA89BA5">
      <w:pPr>
        <w:spacing w:line="400" w:lineRule="exact"/>
        <w:ind w:firstLine="480" w:firstLineChars="200"/>
        <w:rPr>
          <w:color w:val="000000" w:themeColor="text1"/>
          <w:kern w:val="2"/>
          <w:szCs w:val="24"/>
          <w14:textFill>
            <w14:solidFill>
              <w14:schemeClr w14:val="tx1"/>
            </w14:solidFill>
          </w14:textFill>
        </w:rPr>
      </w:pPr>
      <w:r>
        <w:rPr>
          <w:rFonts w:hint="eastAsia"/>
          <w:color w:val="000000" w:themeColor="text1"/>
          <w:kern w:val="2"/>
          <w:szCs w:val="24"/>
          <w14:textFill>
            <w14:solidFill>
              <w14:schemeClr w14:val="tx1"/>
            </w14:solidFill>
          </w14:textFill>
        </w:rPr>
        <w:t>3、机械费（1</w:t>
      </w:r>
      <w:r>
        <w:rPr>
          <w:color w:val="000000" w:themeColor="text1"/>
          <w:kern w:val="2"/>
          <w:szCs w:val="24"/>
          <w14:textFill>
            <w14:solidFill>
              <w14:schemeClr w14:val="tx1"/>
            </w14:solidFill>
          </w14:textFill>
        </w:rPr>
        <w:t>0</w:t>
      </w:r>
      <w:r>
        <w:rPr>
          <w:rFonts w:hint="eastAsia"/>
          <w:color w:val="000000" w:themeColor="text1"/>
          <w:kern w:val="2"/>
          <w:szCs w:val="24"/>
          <w14:textFill>
            <w14:solidFill>
              <w14:schemeClr w14:val="tx1"/>
            </w14:solidFill>
          </w14:textFill>
        </w:rPr>
        <w:t>分）</w:t>
      </w:r>
    </w:p>
    <w:p w14:paraId="5C93CF3F">
      <w:pPr>
        <w:spacing w:line="400" w:lineRule="exact"/>
        <w:ind w:firstLine="480" w:firstLineChars="200"/>
        <w:rPr>
          <w:rFonts w:ascii="宋体" w:hAnsi="宋体"/>
          <w:szCs w:val="24"/>
        </w:rPr>
      </w:pPr>
      <w:r>
        <w:rPr>
          <w:rFonts w:hint="eastAsia" w:ascii="宋体" w:hAnsi="宋体"/>
          <w:szCs w:val="24"/>
        </w:rPr>
        <w:t>评标基准价：</w:t>
      </w:r>
    </w:p>
    <w:p w14:paraId="201E6B51">
      <w:pPr>
        <w:spacing w:line="400" w:lineRule="exact"/>
        <w:ind w:firstLine="480" w:firstLineChars="200"/>
        <w:rPr>
          <w:rFonts w:ascii="宋体" w:hAnsi="宋体"/>
        </w:rPr>
      </w:pPr>
      <w:r>
        <w:rPr>
          <w:rFonts w:hint="eastAsia"/>
          <w:bCs/>
          <w:color w:val="000000"/>
        </w:rPr>
        <w:t>价格分的计算，以所有满足招标文件报价要求，通过初步评审合格的投标人的投标报价中的算术平均值*0.98作为评标基准价（如果投标人≧10家，去掉最高报价和最低报价后的算术平均值*0.98作为评标基准价），通过初步评审的有效投标文件的投标报价与评标基准价相等的得满分1</w:t>
      </w:r>
      <w:r>
        <w:rPr>
          <w:bCs/>
          <w:color w:val="000000"/>
        </w:rPr>
        <w:t>0</w:t>
      </w:r>
      <w:r>
        <w:rPr>
          <w:rFonts w:hint="eastAsia"/>
          <w:bCs/>
          <w:color w:val="000000"/>
        </w:rPr>
        <w:t>分。在此基础上，投标报价与评标基准价相比，每增加1%扣0.6分，每减少1%扣0.3分，扣完为止。中间按插入法计算，小数点保留两位。</w:t>
      </w:r>
    </w:p>
    <w:p w14:paraId="3B426D2B">
      <w:pPr>
        <w:widowControl w:val="0"/>
        <w:spacing w:line="360" w:lineRule="auto"/>
        <w:ind w:firstLine="361" w:firstLineChars="150"/>
        <w:jc w:val="both"/>
        <w:rPr>
          <w:rFonts w:ascii="宋体" w:hAnsi="宋体"/>
          <w:b/>
          <w:szCs w:val="24"/>
        </w:rPr>
      </w:pPr>
      <w:r>
        <w:rPr>
          <w:rFonts w:hint="eastAsia" w:ascii="宋体" w:hAnsi="宋体"/>
          <w:b/>
          <w:szCs w:val="24"/>
        </w:rPr>
        <w:t>（二）施工组织设计（45分）</w:t>
      </w:r>
    </w:p>
    <w:p w14:paraId="3AFE85CF">
      <w:pPr>
        <w:widowControl w:val="0"/>
        <w:spacing w:line="360" w:lineRule="auto"/>
        <w:ind w:firstLine="480" w:firstLineChars="200"/>
        <w:jc w:val="both"/>
        <w:rPr>
          <w:rFonts w:ascii="宋体" w:hAnsi="宋体"/>
          <w:kern w:val="2"/>
          <w:szCs w:val="24"/>
        </w:rPr>
      </w:pPr>
      <w:r>
        <w:rPr>
          <w:rFonts w:hint="eastAsia" w:ascii="宋体" w:hAnsi="宋体"/>
          <w:kern w:val="2"/>
          <w:szCs w:val="24"/>
        </w:rPr>
        <w:t>1、施工总进度计划：</w:t>
      </w:r>
      <w:r>
        <w:rPr>
          <w:rFonts w:hint="eastAsia" w:asciiTheme="minorEastAsia" w:hAnsiTheme="minorEastAsia" w:eastAsiaTheme="minorEastAsia" w:cstheme="minorEastAsia"/>
          <w:szCs w:val="24"/>
        </w:rPr>
        <w:t>方案内容齐全、结构完整，满足项目需要，具有很好的科学性和合理性，可操作性强的得8分；方案内容基本齐全、结构基本完整，能基本满足项目需要，具有较好的科学性和合理性，可操作性较强的得5分；方案内容有重大缺失、结构不够完整，不能满足项目需求，科学性和合理性较差，不具有可操作性的得2分；不提供不得分</w:t>
      </w:r>
      <w:r>
        <w:rPr>
          <w:rFonts w:hint="eastAsia" w:ascii="宋体" w:hAnsi="宋体"/>
          <w:kern w:val="2"/>
          <w:szCs w:val="24"/>
        </w:rPr>
        <w:t>。</w:t>
      </w:r>
    </w:p>
    <w:p w14:paraId="5EDCCCA3">
      <w:pPr>
        <w:widowControl w:val="0"/>
        <w:spacing w:line="360" w:lineRule="auto"/>
        <w:ind w:firstLine="480" w:firstLineChars="200"/>
        <w:jc w:val="both"/>
        <w:rPr>
          <w:rFonts w:ascii="宋体" w:hAnsi="宋体"/>
          <w:kern w:val="2"/>
          <w:szCs w:val="24"/>
        </w:rPr>
      </w:pPr>
      <w:r>
        <w:rPr>
          <w:rFonts w:hint="eastAsia" w:ascii="宋体" w:hAnsi="宋体"/>
          <w:kern w:val="2"/>
          <w:szCs w:val="24"/>
        </w:rPr>
        <w:t>2、资料台账管理制度：有完整的管理制度且有专人定期负责资料、报表的编制，各类台账、资料交接清晰，归档齐全的得8分；管理制度较完整、有专人负责资料、报表的编制，各类台账、资料交接较清晰的得5分；有所缺失的得2分；未提供的不得分。</w:t>
      </w:r>
    </w:p>
    <w:p w14:paraId="706DE610">
      <w:pPr>
        <w:widowControl w:val="0"/>
        <w:spacing w:line="360" w:lineRule="auto"/>
        <w:ind w:firstLine="480" w:firstLineChars="200"/>
        <w:jc w:val="both"/>
        <w:rPr>
          <w:rFonts w:ascii="宋体" w:hAnsi="宋体"/>
          <w:kern w:val="2"/>
          <w:szCs w:val="24"/>
        </w:rPr>
      </w:pPr>
      <w:r>
        <w:rPr>
          <w:rFonts w:hint="eastAsia" w:ascii="宋体" w:hAnsi="宋体"/>
          <w:kern w:val="2"/>
          <w:szCs w:val="24"/>
        </w:rPr>
        <w:t>3、安全文明施工措施：该工程安全文明施工、施工现场扬尘污染防治措施及环境保护方面的措施科学、合理、操作性强、规范、高效的得8分；安全文明施工、施工现场扬尘污染防治措施及环境保护方面的措施内容不全面的得5分；以上内容仅有涉及、内容不全面的得2分。完全未提供不得分。</w:t>
      </w:r>
    </w:p>
    <w:p w14:paraId="263A734A">
      <w:pPr>
        <w:widowControl w:val="0"/>
        <w:spacing w:line="360" w:lineRule="auto"/>
        <w:ind w:firstLine="480" w:firstLineChars="200"/>
        <w:jc w:val="both"/>
        <w:rPr>
          <w:rFonts w:ascii="宋体" w:hAnsi="宋体"/>
          <w:kern w:val="2"/>
          <w:szCs w:val="24"/>
        </w:rPr>
      </w:pPr>
      <w:r>
        <w:rPr>
          <w:rFonts w:hint="eastAsia" w:ascii="宋体" w:hAnsi="宋体"/>
          <w:kern w:val="2"/>
          <w:szCs w:val="24"/>
        </w:rPr>
        <w:t>4、机械设备的投入：用于该工程的机械及各种设备，满足招标文件要求的设备清单得5分，每增加一个加1分，共计8分。提供设备图片等证明材料。</w:t>
      </w:r>
    </w:p>
    <w:p w14:paraId="7B6AC439">
      <w:pPr>
        <w:widowControl w:val="0"/>
        <w:spacing w:line="360" w:lineRule="auto"/>
        <w:ind w:firstLine="480" w:firstLineChars="200"/>
        <w:jc w:val="both"/>
        <w:rPr>
          <w:rFonts w:ascii="宋体" w:hAnsi="宋体"/>
          <w:kern w:val="2"/>
          <w:szCs w:val="24"/>
        </w:rPr>
      </w:pPr>
      <w:r>
        <w:rPr>
          <w:rFonts w:hint="eastAsia" w:ascii="宋体" w:hAnsi="宋体"/>
          <w:kern w:val="2"/>
          <w:szCs w:val="24"/>
        </w:rPr>
        <w:t>5、质量保证措施（8分）</w:t>
      </w:r>
    </w:p>
    <w:p w14:paraId="5121F309">
      <w:pPr>
        <w:widowControl w:val="0"/>
        <w:spacing w:line="360" w:lineRule="auto"/>
        <w:ind w:firstLine="480" w:firstLineChars="200"/>
        <w:jc w:val="both"/>
        <w:rPr>
          <w:rFonts w:ascii="宋体" w:hAnsi="宋体"/>
          <w:kern w:val="2"/>
          <w:szCs w:val="24"/>
        </w:rPr>
      </w:pPr>
      <w:r>
        <w:rPr>
          <w:rFonts w:hint="eastAsia" w:ascii="宋体" w:hAnsi="宋体"/>
          <w:kern w:val="2"/>
          <w:szCs w:val="24"/>
        </w:rPr>
        <w:t>根据投标人制定的质量保证措施进行综合评定；持续质量管理措施科学合理、保障充分的得8分；较为科学合理、保障较充分的得5分；措施有所欠缺的得2分；未提供的不得分。</w:t>
      </w:r>
    </w:p>
    <w:p w14:paraId="1BBFC2C1">
      <w:pPr>
        <w:spacing w:line="360" w:lineRule="auto"/>
        <w:ind w:firstLine="480" w:firstLineChars="200"/>
        <w:rPr>
          <w:rFonts w:asciiTheme="minorEastAsia" w:hAnsiTheme="minorEastAsia" w:eastAsiaTheme="minorEastAsia" w:cstheme="minorEastAsia"/>
          <w:szCs w:val="24"/>
        </w:rPr>
      </w:pPr>
      <w:r>
        <w:rPr>
          <w:rFonts w:hint="eastAsia" w:ascii="宋体" w:hAnsi="宋体"/>
          <w:kern w:val="2"/>
          <w:szCs w:val="24"/>
        </w:rPr>
        <w:t>6、</w:t>
      </w:r>
      <w:r>
        <w:rPr>
          <w:rFonts w:hint="eastAsia" w:asciiTheme="minorEastAsia" w:hAnsiTheme="minorEastAsia" w:eastAsiaTheme="minorEastAsia" w:cstheme="minorEastAsia"/>
          <w:szCs w:val="24"/>
        </w:rPr>
        <w:t>应急措施（5分）</w:t>
      </w:r>
    </w:p>
    <w:p w14:paraId="6E8F4B83">
      <w:pPr>
        <w:widowControl w:val="0"/>
        <w:spacing w:line="360" w:lineRule="auto"/>
        <w:ind w:firstLine="480" w:firstLineChars="200"/>
        <w:jc w:val="both"/>
        <w:rPr>
          <w:rFonts w:ascii="宋体" w:hAnsi="宋体"/>
          <w:kern w:val="2"/>
          <w:szCs w:val="24"/>
        </w:rPr>
      </w:pPr>
      <w:r>
        <w:rPr>
          <w:rFonts w:hint="eastAsia" w:asciiTheme="minorEastAsia" w:hAnsiTheme="minorEastAsia" w:eastAsiaTheme="minorEastAsia" w:cstheme="minorEastAsia"/>
          <w:szCs w:val="24"/>
        </w:rPr>
        <w:t>根据投标人制定的应急措施进行综合评定。项目实施过程中有具体举措且措施科学合理、保障充分的得5分；较为科学合理、保障较充分的得3分；措施有所欠缺的得1分；未提供的不得分。</w:t>
      </w:r>
    </w:p>
    <w:p w14:paraId="509F6131">
      <w:pPr>
        <w:widowControl w:val="0"/>
        <w:spacing w:line="360" w:lineRule="auto"/>
        <w:ind w:firstLine="480" w:firstLineChars="200"/>
        <w:jc w:val="both"/>
        <w:rPr>
          <w:rFonts w:ascii="宋体" w:hAnsi="宋体"/>
          <w:kern w:val="2"/>
          <w:szCs w:val="24"/>
        </w:rPr>
      </w:pPr>
      <w:r>
        <w:rPr>
          <w:rFonts w:hint="eastAsia" w:ascii="宋体" w:hAnsi="宋体"/>
          <w:kern w:val="2"/>
          <w:szCs w:val="24"/>
        </w:rPr>
        <w:t>（四）综合实力（25分）</w:t>
      </w:r>
    </w:p>
    <w:p w14:paraId="5F1915FF">
      <w:pPr>
        <w:widowControl w:val="0"/>
        <w:spacing w:line="360" w:lineRule="auto"/>
        <w:ind w:firstLine="480" w:firstLineChars="200"/>
        <w:jc w:val="both"/>
        <w:rPr>
          <w:rFonts w:ascii="宋体" w:hAnsi="宋体"/>
          <w:kern w:val="2"/>
          <w:szCs w:val="24"/>
        </w:rPr>
      </w:pPr>
      <w:r>
        <w:rPr>
          <w:rFonts w:hint="eastAsia" w:ascii="宋体" w:hAnsi="宋体"/>
          <w:kern w:val="2"/>
          <w:szCs w:val="24"/>
        </w:rPr>
        <w:t>1、响应单位提供2019年9月至今已竣工验收的类似工程业绩的，每个得3分，最高得6分。(日期以签订合同日期为准，响应文件中提供合同复印件)</w:t>
      </w:r>
    </w:p>
    <w:p w14:paraId="1691DDFF">
      <w:pPr>
        <w:widowControl w:val="0"/>
        <w:spacing w:line="360" w:lineRule="auto"/>
        <w:ind w:firstLine="480" w:firstLineChars="200"/>
        <w:jc w:val="both"/>
        <w:rPr>
          <w:rFonts w:ascii="宋体" w:hAnsi="宋体"/>
          <w:kern w:val="2"/>
          <w:szCs w:val="24"/>
        </w:rPr>
      </w:pPr>
      <w:r>
        <w:rPr>
          <w:rFonts w:hint="eastAsia"/>
        </w:rPr>
        <w:t>2、</w:t>
      </w:r>
      <w:r>
        <w:rPr>
          <w:rFonts w:hint="eastAsia" w:ascii="宋体" w:hAnsi="宋体"/>
          <w:kern w:val="2"/>
          <w:szCs w:val="24"/>
        </w:rPr>
        <w:t>投标单位</w:t>
      </w:r>
      <w:r>
        <w:rPr>
          <w:rFonts w:ascii="宋体" w:hAnsi="宋体"/>
          <w:kern w:val="2"/>
          <w:szCs w:val="24"/>
        </w:rPr>
        <w:t>具有质量管理体系认证证书、环境管理体系认证证书、职业健康安全管理体系认证证书，每提供一份证书得</w:t>
      </w:r>
      <w:r>
        <w:rPr>
          <w:rFonts w:hint="eastAsia" w:ascii="宋体" w:hAnsi="宋体"/>
          <w:kern w:val="2"/>
          <w:szCs w:val="24"/>
        </w:rPr>
        <w:t>3</w:t>
      </w:r>
      <w:r>
        <w:rPr>
          <w:rFonts w:ascii="宋体" w:hAnsi="宋体"/>
          <w:kern w:val="2"/>
          <w:szCs w:val="24"/>
        </w:rPr>
        <w:t>分，最高得</w:t>
      </w:r>
      <w:r>
        <w:rPr>
          <w:rFonts w:hint="eastAsia" w:ascii="宋体" w:hAnsi="宋体"/>
          <w:kern w:val="2"/>
          <w:szCs w:val="24"/>
        </w:rPr>
        <w:t>9</w:t>
      </w:r>
      <w:r>
        <w:rPr>
          <w:rFonts w:ascii="宋体" w:hAnsi="宋体"/>
          <w:kern w:val="2"/>
          <w:szCs w:val="24"/>
        </w:rPr>
        <w:t>分。（证书须在有效期内，响应文件中提供证书复印件</w:t>
      </w:r>
      <w:r>
        <w:rPr>
          <w:rFonts w:hint="eastAsia" w:ascii="宋体" w:hAnsi="宋体"/>
          <w:kern w:val="2"/>
          <w:szCs w:val="24"/>
        </w:rPr>
        <w:t>）</w:t>
      </w:r>
    </w:p>
    <w:p w14:paraId="533D3F9D">
      <w:pPr>
        <w:widowControl w:val="0"/>
        <w:spacing w:line="360" w:lineRule="auto"/>
        <w:ind w:firstLine="480" w:firstLineChars="200"/>
        <w:jc w:val="both"/>
        <w:rPr>
          <w:rFonts w:ascii="宋体" w:hAnsi="宋体"/>
          <w:kern w:val="2"/>
          <w:szCs w:val="24"/>
        </w:rPr>
      </w:pPr>
      <w:r>
        <w:rPr>
          <w:rFonts w:hint="eastAsia" w:ascii="宋体" w:hAnsi="宋体"/>
          <w:kern w:val="2"/>
          <w:szCs w:val="24"/>
        </w:rPr>
        <w:t>3、项目负责人具有高级工程师证的得3分。</w:t>
      </w:r>
      <w:r>
        <w:rPr>
          <w:rFonts w:ascii="宋体" w:hAnsi="宋体"/>
          <w:kern w:val="2"/>
          <w:szCs w:val="24"/>
        </w:rPr>
        <w:t>（证书须在有效期内，响应文件中提供证书复印件</w:t>
      </w:r>
      <w:r>
        <w:rPr>
          <w:rFonts w:hint="eastAsia" w:ascii="宋体" w:hAnsi="宋体"/>
          <w:kern w:val="2"/>
          <w:szCs w:val="24"/>
        </w:rPr>
        <w:t>）</w:t>
      </w:r>
    </w:p>
    <w:p w14:paraId="3259E2DA">
      <w:pPr>
        <w:widowControl w:val="0"/>
        <w:spacing w:line="360" w:lineRule="auto"/>
        <w:ind w:firstLine="480" w:firstLineChars="200"/>
        <w:jc w:val="both"/>
        <w:rPr>
          <w:rFonts w:ascii="宋体" w:hAnsi="宋体"/>
          <w:kern w:val="2"/>
          <w:szCs w:val="24"/>
        </w:rPr>
      </w:pPr>
      <w:r>
        <w:rPr>
          <w:rFonts w:hint="eastAsia" w:ascii="宋体" w:hAnsi="宋体"/>
          <w:kern w:val="2"/>
          <w:szCs w:val="24"/>
        </w:rPr>
        <w:t>4、项目组成员具有安全员证的得1分</w:t>
      </w:r>
      <w:r>
        <w:rPr>
          <w:rFonts w:ascii="宋体" w:hAnsi="宋体"/>
          <w:kern w:val="2"/>
          <w:szCs w:val="24"/>
        </w:rPr>
        <w:t>。</w:t>
      </w:r>
      <w:r>
        <w:rPr>
          <w:rFonts w:hint="eastAsia" w:ascii="宋体" w:hAnsi="宋体"/>
          <w:kern w:val="2"/>
          <w:szCs w:val="24"/>
        </w:rPr>
        <w:t>（提供证书复印件）</w:t>
      </w:r>
    </w:p>
    <w:p w14:paraId="74D024E1">
      <w:pPr>
        <w:widowControl w:val="0"/>
        <w:spacing w:line="360" w:lineRule="auto"/>
        <w:ind w:firstLine="480" w:firstLineChars="200"/>
        <w:jc w:val="both"/>
        <w:rPr>
          <w:rFonts w:ascii="宋体" w:hAnsi="宋体"/>
          <w:kern w:val="2"/>
          <w:szCs w:val="24"/>
        </w:rPr>
      </w:pPr>
      <w:r>
        <w:rPr>
          <w:rFonts w:hint="eastAsia" w:ascii="宋体" w:hAnsi="宋体"/>
          <w:kern w:val="2"/>
          <w:szCs w:val="24"/>
        </w:rPr>
        <w:t>5、项目组成员具有焊工证的每提供一个得2分，共计6分</w:t>
      </w:r>
      <w:r>
        <w:rPr>
          <w:rFonts w:ascii="宋体" w:hAnsi="宋体"/>
          <w:kern w:val="2"/>
          <w:szCs w:val="24"/>
        </w:rPr>
        <w:t>。</w:t>
      </w:r>
      <w:r>
        <w:rPr>
          <w:rFonts w:hint="eastAsia" w:ascii="宋体" w:hAnsi="宋体"/>
          <w:kern w:val="2"/>
          <w:szCs w:val="24"/>
        </w:rPr>
        <w:t>（提供证书复印件）</w:t>
      </w:r>
    </w:p>
    <w:p w14:paraId="6B2A9D69">
      <w:pPr>
        <w:pStyle w:val="2"/>
        <w:rPr>
          <w:lang w:val="en-US"/>
        </w:rPr>
      </w:pPr>
    </w:p>
    <w:p w14:paraId="057875F0">
      <w:pPr>
        <w:pStyle w:val="2"/>
        <w:rPr>
          <w:lang w:val="en-US"/>
        </w:rPr>
      </w:pPr>
    </w:p>
    <w:p w14:paraId="2EB3F5DC">
      <w:pPr>
        <w:pStyle w:val="2"/>
        <w:rPr>
          <w:lang w:val="en-US"/>
        </w:rPr>
      </w:pPr>
    </w:p>
    <w:p w14:paraId="5BCDBA1E">
      <w:pPr>
        <w:pStyle w:val="2"/>
        <w:rPr>
          <w:lang w:val="en-US"/>
        </w:rPr>
      </w:pPr>
    </w:p>
    <w:p w14:paraId="14AA74C4">
      <w:pPr>
        <w:pStyle w:val="2"/>
        <w:rPr>
          <w:lang w:val="en-US"/>
        </w:rPr>
      </w:pPr>
    </w:p>
    <w:p w14:paraId="2AA714B0">
      <w:pPr>
        <w:spacing w:line="360" w:lineRule="auto"/>
        <w:rPr>
          <w:rFonts w:ascii="宋体" w:hAnsi="宋体"/>
          <w:szCs w:val="24"/>
        </w:rPr>
      </w:pPr>
      <w:r>
        <w:rPr>
          <w:rFonts w:hint="eastAsia" w:ascii="宋体" w:hAnsi="宋体"/>
          <w:szCs w:val="24"/>
        </w:rPr>
        <w:t>备注：</w:t>
      </w:r>
    </w:p>
    <w:p w14:paraId="5057C0FB">
      <w:pPr>
        <w:spacing w:line="360" w:lineRule="auto"/>
        <w:rPr>
          <w:rFonts w:ascii="宋体" w:hAnsi="宋体"/>
          <w:szCs w:val="24"/>
        </w:rPr>
      </w:pPr>
      <w:r>
        <w:rPr>
          <w:rFonts w:ascii="宋体" w:hAnsi="宋体"/>
          <w:szCs w:val="24"/>
        </w:rPr>
        <w:t>1</w:t>
      </w:r>
      <w:r>
        <w:rPr>
          <w:rFonts w:hint="eastAsia" w:ascii="宋体" w:hAnsi="宋体"/>
          <w:szCs w:val="24"/>
        </w:rPr>
        <w:t>、各投标人在投标文件中均须提供对以上评分因素的具体说明和相关证明资料，不提供者视为不具备该项得分条件。</w:t>
      </w:r>
    </w:p>
    <w:p w14:paraId="6D94EC53">
      <w:pPr>
        <w:spacing w:line="360" w:lineRule="auto"/>
        <w:rPr>
          <w:rFonts w:ascii="宋体" w:hAnsi="宋体"/>
          <w:szCs w:val="24"/>
        </w:rPr>
      </w:pPr>
      <w:r>
        <w:rPr>
          <w:rFonts w:hint="eastAsia" w:ascii="宋体" w:hAnsi="宋体"/>
          <w:szCs w:val="24"/>
        </w:rPr>
        <w:t>2、本次招标结束后，招标人将对所有投标人的标书内容进行真实性的核查，如发现有提供虚假、不真实的资料，中标候选人一律取消资格。</w:t>
      </w:r>
    </w:p>
    <w:p w14:paraId="2180E250">
      <w:pPr>
        <w:pStyle w:val="2"/>
        <w:rPr>
          <w:lang w:val="en-US"/>
        </w:rPr>
      </w:pPr>
    </w:p>
    <w:p w14:paraId="749F59CA">
      <w:pPr>
        <w:pStyle w:val="2"/>
        <w:rPr>
          <w:lang w:val="en-US"/>
        </w:rPr>
      </w:pPr>
    </w:p>
    <w:p w14:paraId="359D5CF3">
      <w:pPr>
        <w:keepNext/>
        <w:keepLines/>
        <w:widowControl w:val="0"/>
        <w:spacing w:line="360" w:lineRule="auto"/>
        <w:outlineLvl w:val="3"/>
        <w:rPr>
          <w:rFonts w:ascii="宋体" w:hAnsi="宋体" w:cs="宋体"/>
          <w:color w:val="000000"/>
          <w:sz w:val="22"/>
          <w:szCs w:val="22"/>
          <w:lang w:bidi="en-US"/>
        </w:rPr>
      </w:pPr>
      <w:r>
        <w:rPr>
          <w:rFonts w:hint="eastAsia" w:ascii="宋体" w:hAnsi="宋体" w:cs="宋体"/>
          <w:color w:val="000000"/>
          <w:sz w:val="22"/>
          <w:szCs w:val="22"/>
          <w:lang w:bidi="en-US"/>
        </w:rPr>
        <w:t>附件：工程项目安全管理协议</w:t>
      </w:r>
    </w:p>
    <w:p w14:paraId="098E7AF2">
      <w:pPr>
        <w:widowControl w:val="0"/>
        <w:spacing w:before="156" w:after="156" w:line="440" w:lineRule="exact"/>
        <w:jc w:val="center"/>
        <w:rPr>
          <w:rFonts w:ascii="宋体" w:hAnsi="宋体" w:cs="宋体"/>
          <w:color w:val="000000"/>
          <w:sz w:val="22"/>
          <w:szCs w:val="22"/>
          <w:lang w:bidi="en-US"/>
        </w:rPr>
      </w:pPr>
      <w:r>
        <w:rPr>
          <w:rFonts w:hint="eastAsia" w:ascii="宋体" w:hAnsi="宋体" w:cs="宋体"/>
          <w:color w:val="000000"/>
          <w:sz w:val="22"/>
          <w:szCs w:val="22"/>
          <w:lang w:bidi="en-US"/>
        </w:rPr>
        <w:t>工程项目安全管理协议</w:t>
      </w:r>
    </w:p>
    <w:p w14:paraId="72BB3F6E">
      <w:pPr>
        <w:widowControl w:val="0"/>
        <w:spacing w:line="360" w:lineRule="auto"/>
        <w:rPr>
          <w:rFonts w:ascii="宋体" w:hAnsi="宋体" w:cs="宋体"/>
          <w:color w:val="000000"/>
          <w:sz w:val="22"/>
          <w:szCs w:val="22"/>
          <w:u w:val="single"/>
          <w:lang w:bidi="en-US"/>
        </w:rPr>
      </w:pPr>
      <w:r>
        <w:rPr>
          <w:rFonts w:hint="eastAsia" w:ascii="宋体" w:hAnsi="宋体" w:cs="宋体"/>
          <w:color w:val="000000"/>
          <w:sz w:val="22"/>
          <w:szCs w:val="22"/>
          <w:lang w:bidi="en-US"/>
        </w:rPr>
        <w:t>甲方：</w:t>
      </w:r>
      <w:r>
        <w:rPr>
          <w:rFonts w:hint="eastAsia" w:ascii="宋体" w:hAnsi="宋体" w:cs="宋体"/>
          <w:color w:val="000000"/>
          <w:sz w:val="22"/>
          <w:szCs w:val="22"/>
          <w:u w:val="single"/>
          <w:lang w:bidi="en-US"/>
        </w:rPr>
        <w:t xml:space="preserve">     苏州燃气集团有限责任公司         </w:t>
      </w:r>
    </w:p>
    <w:p w14:paraId="51208578">
      <w:pPr>
        <w:widowControl w:val="0"/>
        <w:spacing w:line="360" w:lineRule="auto"/>
        <w:rPr>
          <w:rFonts w:ascii="宋体" w:hAnsi="宋体" w:cs="宋体"/>
          <w:color w:val="000000"/>
          <w:sz w:val="22"/>
          <w:szCs w:val="22"/>
          <w:u w:val="single"/>
          <w:lang w:bidi="en-US"/>
        </w:rPr>
      </w:pPr>
      <w:r>
        <w:rPr>
          <w:rFonts w:hint="eastAsia" w:ascii="宋体" w:hAnsi="宋体" w:cs="宋体"/>
          <w:color w:val="000000"/>
          <w:sz w:val="22"/>
          <w:szCs w:val="22"/>
          <w:lang w:bidi="en-US"/>
        </w:rPr>
        <w:t>乙方：</w:t>
      </w:r>
      <w:r>
        <w:rPr>
          <w:rFonts w:hint="eastAsia" w:ascii="宋体" w:hAnsi="宋体" w:cs="宋体"/>
          <w:color w:val="000000"/>
          <w:sz w:val="22"/>
          <w:szCs w:val="22"/>
          <w:u w:val="single"/>
          <w:lang w:bidi="en-US"/>
        </w:rPr>
        <w:t xml:space="preserve">                          </w:t>
      </w:r>
    </w:p>
    <w:p w14:paraId="23996A51">
      <w:pPr>
        <w:widowControl w:val="0"/>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 xml:space="preserve">   甲方将项目委托给乙方施工，为贯彻“安全第一，预防为主”的方针，根据国家有关法规，明确双方的安全生产责任，确保施工安全，双方在签订工程承包协议的同时，签订本协议。</w:t>
      </w:r>
    </w:p>
    <w:p w14:paraId="0A1091B0">
      <w:pPr>
        <w:widowControl w:val="0"/>
        <w:numPr>
          <w:ilvl w:val="0"/>
          <w:numId w:val="8"/>
        </w:numPr>
        <w:spacing w:line="360" w:lineRule="auto"/>
        <w:rPr>
          <w:rFonts w:ascii="宋体" w:hAnsi="宋体" w:cs="宋体"/>
          <w:color w:val="000000"/>
          <w:sz w:val="22"/>
          <w:szCs w:val="22"/>
          <w:lang w:eastAsia="en-US" w:bidi="en-US"/>
        </w:rPr>
      </w:pPr>
      <w:r>
        <w:rPr>
          <w:rFonts w:hint="eastAsia" w:ascii="宋体" w:hAnsi="宋体" w:cs="宋体"/>
          <w:color w:val="000000"/>
          <w:sz w:val="22"/>
          <w:szCs w:val="22"/>
          <w:lang w:eastAsia="en-US" w:bidi="en-US"/>
        </w:rPr>
        <w:t>承包工程项目</w:t>
      </w:r>
    </w:p>
    <w:p w14:paraId="03DD882A">
      <w:pPr>
        <w:widowControl w:val="0"/>
        <w:spacing w:line="360" w:lineRule="auto"/>
        <w:rPr>
          <w:rFonts w:ascii="宋体" w:hAnsi="宋体" w:cs="宋体"/>
          <w:color w:val="000000"/>
          <w:sz w:val="22"/>
          <w:szCs w:val="22"/>
          <w:u w:val="single"/>
          <w:lang w:bidi="en-US"/>
        </w:rPr>
      </w:pPr>
      <w:r>
        <w:rPr>
          <w:rFonts w:hint="eastAsia" w:ascii="宋体" w:hAnsi="宋体" w:cs="宋体"/>
          <w:color w:val="000000"/>
          <w:sz w:val="22"/>
          <w:szCs w:val="22"/>
          <w:lang w:bidi="en-US"/>
        </w:rPr>
        <w:t>工程名称：</w:t>
      </w:r>
      <w:r>
        <w:rPr>
          <w:rFonts w:hint="eastAsia" w:ascii="宋体" w:hAnsi="宋体" w:cs="宋体"/>
          <w:color w:val="000000"/>
          <w:sz w:val="22"/>
          <w:szCs w:val="22"/>
          <w:u w:val="single"/>
          <w:lang w:bidi="en-US"/>
        </w:rPr>
        <w:t xml:space="preserve">                    </w:t>
      </w:r>
    </w:p>
    <w:p w14:paraId="7F52FBFD">
      <w:pPr>
        <w:widowControl w:val="0"/>
        <w:numPr>
          <w:ilvl w:val="0"/>
          <w:numId w:val="8"/>
        </w:numPr>
        <w:spacing w:line="360" w:lineRule="auto"/>
        <w:rPr>
          <w:rFonts w:ascii="宋体" w:hAnsi="宋体" w:cs="宋体"/>
          <w:color w:val="000000"/>
          <w:sz w:val="22"/>
          <w:szCs w:val="22"/>
          <w:lang w:eastAsia="en-US" w:bidi="en-US"/>
        </w:rPr>
      </w:pPr>
      <w:r>
        <w:rPr>
          <w:rFonts w:hint="eastAsia" w:ascii="宋体" w:hAnsi="宋体" w:cs="宋体"/>
          <w:color w:val="000000"/>
          <w:sz w:val="22"/>
          <w:szCs w:val="22"/>
          <w:lang w:eastAsia="en-US" w:bidi="en-US"/>
        </w:rPr>
        <w:t>协议内容：</w:t>
      </w:r>
    </w:p>
    <w:p w14:paraId="0F204F2F">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乙方必须认真贯彻国家、地方和上级劳动保护、安全生产主管部门颁发的有关安全生产、消防工作的方针政策、严格执行有关劳动保护法规、条例、规定。</w:t>
      </w:r>
    </w:p>
    <w:p w14:paraId="42CF4C8F">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乙方应有安全管理组织机构，包括抓安全生产的领导，各级专职安全人员，应用各工种的安全操作规程，特种作业人员的审核考核制度及各级安全生产岗位责任制和定期安全检查制度，安全教育制度等。</w:t>
      </w:r>
    </w:p>
    <w:p w14:paraId="55C0049D">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乙方应根据甲方审批的施工组织设计进行施工。</w:t>
      </w:r>
    </w:p>
    <w:p w14:paraId="04D0ECB6">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乙方必须认真组织本项目职工进行安全生产制度及安全技术知识教育，增强法制观念，提高职工的安全生产意识和自我保护能力，督促职工自觉遵守安全生产纪律、制度和法规。</w:t>
      </w:r>
    </w:p>
    <w:p w14:paraId="75CF7C2A">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施工前，乙方应对本项目全体人员进行安全生产教育，对各类安全生产管理制度进行介绍，乙方必须坚持督促施工人员遵守、严格执行。根据项目内容特点，乙方应做好安全技术交底，并有交底的书面材料存档备查。</w:t>
      </w:r>
    </w:p>
    <w:p w14:paraId="4AF6D7FA">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施工期间，乙方必须专人负责本项目有关安全、消防工作，坚持督促执行情况，预防事故发生。</w:t>
      </w:r>
    </w:p>
    <w:p w14:paraId="3B07955E">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乙方在施工期间必须严格执行和遵守甲方的一切安全生产管理制度，接受各方的检查、督促和指导。</w:t>
      </w:r>
    </w:p>
    <w:p w14:paraId="433803EA">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在生产操作过程中的个人防护用品，由乙方自理，甲乙方都应督促施工现场人员自觉穿戴好防护用品。</w:t>
      </w:r>
    </w:p>
    <w:p w14:paraId="06B6B364">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对所处的施工区域、作业环境、操作设备、工具用具等，必须认真检查，发现隐患，立即停止施工，并由乙方有关部门完成落实整改后方准施工。乙方对所处的施工区域、作业环境、操作设备、工具用具等应符合安全要求和处于安全状态。施工过程中由于上述因素不良而导致的事故，由乙方承担，应追究事故责任人责任并进行处罚。</w:t>
      </w:r>
    </w:p>
    <w:p w14:paraId="49822C70">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乙方使用的机械设备、脚手架、施工电梯等设施，在搭设安装完毕提交使用前，应按规定验收，并做好验收及交付使用的书面手续，严禁在未验收或验收不合格情况下投入使用，否则后果自付，并接受处罚。</w:t>
      </w:r>
    </w:p>
    <w:p w14:paraId="1123453E">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特种作业必须执行国家《特种作业人员安全技术培训考核管理规定》，作业人员必须持证上岗，并按规定定期审核。中小型机械的操作人员必须按规定做到“定机定人”和有证操作，起重吊装作业人员必须遵守“十不吊”规定，严禁违章作业。</w:t>
      </w:r>
    </w:p>
    <w:p w14:paraId="49C2FC46">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必须严格执行各类防火防爆制度，易燃易爆场所严禁吸烟及动用明火，消防器材不准挪作他用。电焊、气割作业应按规定办理动火审批手续，严格遵守“十不烧”规定，落实防火、防中毒措施，并指派专人值班。</w:t>
      </w:r>
    </w:p>
    <w:p w14:paraId="2073B039">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乙方使用的电气设备，在使用前应进行检测，并做好检测记录，如不符合安全规定的乙方应及时积极维修，维修合格后方准使用。违反本规定，擅自乱拉电气线路造成后果均由乙方负责并对责任人进行处理。</w:t>
      </w:r>
    </w:p>
    <w:p w14:paraId="2E89B3F0">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乙方在施工中，应注意地下管线及高压架空线路的保护。乙方在施工前应进行详细交底，如遇有情况，应及时向项目部反映情况，采取保护措施。</w:t>
      </w:r>
    </w:p>
    <w:p w14:paraId="0597B104">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贯彻谁施工谁负责安全的原则，乙方人员在施工期间造成伤亡、火灾、机械等重大事故，乙方应全力进行紧急抢救伤员和保护现场，按国务院有关事故报告规定在事故发生后的二十四小时内及时报告项目部和上级主管，事故损失和善后处理费用，应由乙方负责，甲乙双方按协议约定对事故责任人进行处理。</w:t>
      </w:r>
    </w:p>
    <w:p w14:paraId="195CCB51">
      <w:pPr>
        <w:widowControl w:val="0"/>
        <w:numPr>
          <w:ilvl w:val="0"/>
          <w:numId w:val="9"/>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乙方必须确保的安全指标：</w:t>
      </w:r>
    </w:p>
    <w:p w14:paraId="5337CEEC">
      <w:pPr>
        <w:widowControl w:val="0"/>
        <w:numPr>
          <w:ilvl w:val="0"/>
          <w:numId w:val="10"/>
        </w:numPr>
        <w:spacing w:line="360" w:lineRule="auto"/>
        <w:rPr>
          <w:rFonts w:ascii="宋体" w:hAnsi="宋体" w:cs="宋体"/>
          <w:color w:val="000000"/>
          <w:sz w:val="22"/>
          <w:szCs w:val="22"/>
          <w:lang w:eastAsia="en-US" w:bidi="en-US"/>
        </w:rPr>
      </w:pPr>
      <w:r>
        <w:rPr>
          <w:rFonts w:hint="eastAsia" w:ascii="宋体" w:hAnsi="宋体" w:cs="宋体"/>
          <w:color w:val="000000"/>
          <w:sz w:val="22"/>
          <w:szCs w:val="22"/>
          <w:lang w:eastAsia="en-US" w:bidi="en-US"/>
        </w:rPr>
        <w:t>杜绝死亡事故的发生；</w:t>
      </w:r>
    </w:p>
    <w:p w14:paraId="7BCE9B4A">
      <w:pPr>
        <w:widowControl w:val="0"/>
        <w:numPr>
          <w:ilvl w:val="0"/>
          <w:numId w:val="10"/>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重伤事故1.5‰，轻伤事故12‰。</w:t>
      </w:r>
    </w:p>
    <w:p w14:paraId="691FE4E5">
      <w:pPr>
        <w:widowControl w:val="0"/>
        <w:numPr>
          <w:ilvl w:val="0"/>
          <w:numId w:val="11"/>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乙方必须严格执行JGJ59-</w:t>
      </w:r>
      <w:r>
        <w:rPr>
          <w:rFonts w:ascii="宋体" w:hAnsi="宋体" w:cs="宋体"/>
          <w:color w:val="000000"/>
          <w:sz w:val="22"/>
          <w:szCs w:val="22"/>
          <w:lang w:bidi="en-US"/>
        </w:rPr>
        <w:t>2021</w:t>
      </w:r>
      <w:r>
        <w:rPr>
          <w:rFonts w:hint="eastAsia" w:ascii="宋体" w:hAnsi="宋体" w:cs="宋体"/>
          <w:color w:val="000000"/>
          <w:sz w:val="22"/>
          <w:szCs w:val="22"/>
          <w:lang w:bidi="en-US"/>
        </w:rPr>
        <w:t>《建筑施工安全检查标准》，如不按规范进行施工，发生安全事故，由乙方承担，并按协议约定对事故责任人进行处理。</w:t>
      </w:r>
    </w:p>
    <w:p w14:paraId="4DF537D5">
      <w:pPr>
        <w:widowControl w:val="0"/>
        <w:numPr>
          <w:ilvl w:val="0"/>
          <w:numId w:val="11"/>
        </w:numPr>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本协议经双方签字盖章有效，本协议一式肆份，甲乙双方各执贰份，具有相同效力。</w:t>
      </w:r>
    </w:p>
    <w:p w14:paraId="3A098B5B">
      <w:pPr>
        <w:widowControl w:val="0"/>
        <w:spacing w:line="360" w:lineRule="auto"/>
        <w:rPr>
          <w:rFonts w:ascii="宋体" w:hAnsi="宋体" w:cs="宋体"/>
          <w:color w:val="000000"/>
          <w:sz w:val="22"/>
          <w:szCs w:val="22"/>
          <w:lang w:bidi="en-US"/>
        </w:rPr>
      </w:pPr>
    </w:p>
    <w:p w14:paraId="37B42A92">
      <w:pPr>
        <w:widowControl w:val="0"/>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甲    方：（盖章）                      乙    方：（盖章）</w:t>
      </w:r>
    </w:p>
    <w:p w14:paraId="2D426625">
      <w:pPr>
        <w:widowControl w:val="0"/>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法定代表人：                           法定代表人：</w:t>
      </w:r>
    </w:p>
    <w:p w14:paraId="1097D3F7">
      <w:pPr>
        <w:widowControl w:val="0"/>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 xml:space="preserve">公司地址：苏州姑苏区劳动路1053号      公司地址： </w:t>
      </w:r>
    </w:p>
    <w:p w14:paraId="17EE35A2">
      <w:pPr>
        <w:widowControl w:val="0"/>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联系电话：                             联系电话：</w:t>
      </w:r>
    </w:p>
    <w:p w14:paraId="57D2CB7D">
      <w:pPr>
        <w:widowControl w:val="0"/>
        <w:spacing w:line="360" w:lineRule="auto"/>
        <w:rPr>
          <w:rFonts w:ascii="宋体" w:hAnsi="宋体" w:cs="宋体"/>
          <w:color w:val="000000"/>
          <w:sz w:val="22"/>
          <w:szCs w:val="22"/>
          <w:lang w:bidi="en-US"/>
        </w:rPr>
      </w:pPr>
      <w:r>
        <w:rPr>
          <w:rFonts w:hint="eastAsia" w:ascii="宋体" w:hAnsi="宋体" w:cs="宋体"/>
          <w:color w:val="000000"/>
          <w:sz w:val="22"/>
          <w:szCs w:val="22"/>
          <w:lang w:bidi="en-US"/>
        </w:rPr>
        <w:t>202</w:t>
      </w:r>
      <w:r>
        <w:rPr>
          <w:rFonts w:ascii="宋体" w:hAnsi="宋体" w:cs="宋体"/>
          <w:color w:val="000000"/>
          <w:sz w:val="22"/>
          <w:szCs w:val="22"/>
          <w:lang w:bidi="en-US"/>
        </w:rPr>
        <w:t>4</w:t>
      </w:r>
      <w:r>
        <w:rPr>
          <w:rFonts w:hint="eastAsia" w:ascii="宋体" w:hAnsi="宋体" w:cs="宋体"/>
          <w:color w:val="000000"/>
          <w:sz w:val="22"/>
          <w:szCs w:val="22"/>
          <w:lang w:bidi="en-US"/>
        </w:rPr>
        <w:t>年  月  日                        202</w:t>
      </w:r>
      <w:r>
        <w:rPr>
          <w:rFonts w:ascii="宋体" w:hAnsi="宋体" w:cs="宋体"/>
          <w:color w:val="000000"/>
          <w:sz w:val="22"/>
          <w:szCs w:val="22"/>
          <w:lang w:bidi="en-US"/>
        </w:rPr>
        <w:t>4</w:t>
      </w:r>
      <w:r>
        <w:rPr>
          <w:rFonts w:hint="eastAsia" w:ascii="宋体" w:hAnsi="宋体" w:cs="宋体"/>
          <w:color w:val="000000"/>
          <w:sz w:val="22"/>
          <w:szCs w:val="22"/>
          <w:lang w:bidi="en-US"/>
        </w:rPr>
        <w:t xml:space="preserve">年  月  日 </w:t>
      </w:r>
    </w:p>
    <w:p w14:paraId="7927359B">
      <w:pPr>
        <w:tabs>
          <w:tab w:val="left" w:pos="-3420"/>
        </w:tabs>
        <w:spacing w:line="400" w:lineRule="exact"/>
        <w:rPr>
          <w:rFonts w:ascii="宋体" w:hAnsi="宋体"/>
          <w:szCs w:val="24"/>
        </w:rPr>
      </w:pPr>
    </w:p>
    <w:p w14:paraId="3C5406E8">
      <w:pPr>
        <w:pStyle w:val="2"/>
        <w:rPr>
          <w:lang w:val="en-US"/>
        </w:rPr>
      </w:pPr>
    </w:p>
    <w:p w14:paraId="38D15206">
      <w:pPr>
        <w:spacing w:line="360" w:lineRule="auto"/>
        <w:rPr>
          <w:szCs w:val="24"/>
        </w:rPr>
      </w:pPr>
      <w:r>
        <w:rPr>
          <w:rFonts w:hint="eastAsia" w:ascii="宋体" w:hAnsi="宋体"/>
          <w:szCs w:val="24"/>
        </w:rPr>
        <w:t>全书完。</w:t>
      </w:r>
    </w:p>
    <w:sectPr>
      <w:headerReference r:id="rId3" w:type="default"/>
      <w:footerReference r:id="rId4" w:type="default"/>
      <w:footerReference r:id="rId5" w:type="even"/>
      <w:pgSz w:w="11906" w:h="16838"/>
      <w:pgMar w:top="1440" w:right="707" w:bottom="1440" w:left="1134" w:header="851" w:footer="992"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文鼎CS书宋二">
    <w:altName w:val="黑体"/>
    <w:panose1 w:val="00000000000000000000"/>
    <w:charset w:val="86"/>
    <w:family w:val="modern"/>
    <w:pitch w:val="default"/>
    <w:sig w:usb0="00000000" w:usb1="00000000" w:usb2="00000010" w:usb3="00000000" w:csb0="0004000C"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ingLiU">
    <w:altName w:val="Microsoft JhengHei UI"/>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59C6">
    <w:pPr>
      <w:pStyle w:val="35"/>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21</w:t>
    </w:r>
    <w:r>
      <w:rPr>
        <w:szCs w:val="21"/>
      </w:rPr>
      <w:fldChar w:fldCharType="end"/>
    </w:r>
    <w:r>
      <w:rPr>
        <w:rFonts w:hint="eastAsia"/>
        <w:szCs w:val="21"/>
      </w:rPr>
      <w:t xml:space="preserve"> 页 共</w:t>
    </w:r>
    <w:r>
      <w:rPr>
        <w:szCs w:val="21"/>
      </w:rPr>
      <w:t>36</w:t>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80A7">
    <w:pPr>
      <w:pStyle w:val="35"/>
      <w:framePr w:wrap="around" w:vAnchor="text" w:hAnchor="margin" w:xAlign="right" w:y="1"/>
      <w:rPr>
        <w:rStyle w:val="61"/>
      </w:rPr>
    </w:pPr>
    <w:r>
      <w:fldChar w:fldCharType="begin"/>
    </w:r>
    <w:r>
      <w:rPr>
        <w:rStyle w:val="61"/>
      </w:rPr>
      <w:instrText xml:space="preserve">PAGE  </w:instrText>
    </w:r>
    <w:r>
      <w:fldChar w:fldCharType="end"/>
    </w:r>
  </w:p>
  <w:p w14:paraId="56DBFD5E">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67887">
    <w:pPr>
      <w:pStyle w:val="36"/>
      <w:ind w:right="360"/>
      <w:jc w:val="left"/>
    </w:pPr>
    <w:r>
      <w:rPr>
        <w:rFonts w:hint="eastAsia"/>
      </w:rPr>
      <w:t xml:space="preserve">苏州永诚招标文件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2"/>
      <w:numFmt w:val="decimal"/>
      <w:pStyle w:val="198"/>
      <w:lvlText w:val=""/>
      <w:lvlJc w:val="left"/>
      <w:pPr>
        <w:tabs>
          <w:tab w:val="left" w:pos="360"/>
        </w:tabs>
        <w:ind w:left="360" w:hanging="360"/>
      </w:pPr>
      <w:rPr>
        <w:rFonts w:hint="default"/>
      </w:rPr>
    </w:lvl>
    <w:lvl w:ilvl="1" w:tentative="0">
      <w:start w:val="1"/>
      <w:numFmt w:val="decimal"/>
      <w:lvlText w:val="%1.%2"/>
      <w:lvlJc w:val="left"/>
      <w:pPr>
        <w:tabs>
          <w:tab w:val="left" w:pos="1012"/>
        </w:tabs>
        <w:ind w:left="1012" w:hanging="750"/>
      </w:pPr>
      <w:rPr>
        <w:rFonts w:hint="default"/>
      </w:rPr>
    </w:lvl>
    <w:lvl w:ilvl="2" w:tentative="0">
      <w:start w:val="1"/>
      <w:numFmt w:val="decimal"/>
      <w:lvlText w:val="%1.%2.%3"/>
      <w:lvlJc w:val="left"/>
      <w:pPr>
        <w:tabs>
          <w:tab w:val="left" w:pos="1274"/>
        </w:tabs>
        <w:ind w:left="1274" w:hanging="750"/>
      </w:pPr>
      <w:rPr>
        <w:rFonts w:hint="default"/>
      </w:rPr>
    </w:lvl>
    <w:lvl w:ilvl="3" w:tentative="0">
      <w:start w:val="1"/>
      <w:numFmt w:val="decimal"/>
      <w:lvlText w:val="%1.%2.%3.%4"/>
      <w:lvlJc w:val="left"/>
      <w:pPr>
        <w:tabs>
          <w:tab w:val="left" w:pos="1536"/>
        </w:tabs>
        <w:ind w:left="1536" w:hanging="750"/>
      </w:pPr>
      <w:rPr>
        <w:rFonts w:hint="default"/>
      </w:rPr>
    </w:lvl>
    <w:lvl w:ilvl="4" w:tentative="0">
      <w:start w:val="1"/>
      <w:numFmt w:val="decimal"/>
      <w:lvlText w:val="%1.%2.%3.%4.%5"/>
      <w:lvlJc w:val="left"/>
      <w:pPr>
        <w:tabs>
          <w:tab w:val="left" w:pos="1798"/>
        </w:tabs>
        <w:ind w:left="1798" w:hanging="750"/>
      </w:pPr>
      <w:rPr>
        <w:rFonts w:hint="default"/>
      </w:rPr>
    </w:lvl>
    <w:lvl w:ilvl="5" w:tentative="0">
      <w:start w:val="1"/>
      <w:numFmt w:val="decimal"/>
      <w:lvlText w:val="%1.%2.%3.%4.%5.%6"/>
      <w:lvlJc w:val="left"/>
      <w:pPr>
        <w:tabs>
          <w:tab w:val="left" w:pos="2060"/>
        </w:tabs>
        <w:ind w:left="2060" w:hanging="750"/>
      </w:pPr>
      <w:rPr>
        <w:rFonts w:hint="default"/>
      </w:rPr>
    </w:lvl>
    <w:lvl w:ilvl="6" w:tentative="0">
      <w:start w:val="1"/>
      <w:numFmt w:val="decimal"/>
      <w:lvlText w:val="%1.%2.%3.%4.%5.%6.%7"/>
      <w:lvlJc w:val="left"/>
      <w:pPr>
        <w:tabs>
          <w:tab w:val="left" w:pos="2322"/>
        </w:tabs>
        <w:ind w:left="2322" w:hanging="750"/>
      </w:pPr>
      <w:rPr>
        <w:rFonts w:hint="default"/>
      </w:rPr>
    </w:lvl>
    <w:lvl w:ilvl="7" w:tentative="0">
      <w:start w:val="1"/>
      <w:numFmt w:val="decimal"/>
      <w:lvlText w:val="%1.%2.%3.%4.%5.%6.%7.%8"/>
      <w:lvlJc w:val="left"/>
      <w:pPr>
        <w:tabs>
          <w:tab w:val="left" w:pos="2584"/>
        </w:tabs>
        <w:ind w:left="2584" w:hanging="750"/>
      </w:pPr>
      <w:rPr>
        <w:rFonts w:hint="default"/>
      </w:rPr>
    </w:lvl>
    <w:lvl w:ilvl="8" w:tentative="0">
      <w:start w:val="1"/>
      <w:numFmt w:val="decimal"/>
      <w:lvlText w:val="%1.%2.%3.%4.%5.%6.%7.%8.%9"/>
      <w:lvlJc w:val="left"/>
      <w:pPr>
        <w:tabs>
          <w:tab w:val="left" w:pos="2846"/>
        </w:tabs>
        <w:ind w:left="2846" w:hanging="750"/>
      </w:pPr>
      <w:rPr>
        <w:rFonts w:hint="default"/>
      </w:rPr>
    </w:lvl>
  </w:abstractNum>
  <w:abstractNum w:abstractNumId="1">
    <w:nsid w:val="04154622"/>
    <w:multiLevelType w:val="multilevel"/>
    <w:tmpl w:val="04154622"/>
    <w:lvl w:ilvl="0" w:tentative="0">
      <w:start w:val="1"/>
      <w:numFmt w:val="bullet"/>
      <w:pStyle w:val="18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084C7548"/>
    <w:multiLevelType w:val="multilevel"/>
    <w:tmpl w:val="084C7548"/>
    <w:lvl w:ilvl="0" w:tentative="0">
      <w:start w:val="1"/>
      <w:numFmt w:val="chineseCountingThousand"/>
      <w:pStyle w:val="209"/>
      <w:lvlText w:val="%1"/>
      <w:lvlJc w:val="left"/>
      <w:pPr>
        <w:ind w:left="0" w:firstLine="0"/>
      </w:pPr>
      <w:rPr>
        <w:rFonts w:hint="eastAsia"/>
      </w:rPr>
    </w:lvl>
    <w:lvl w:ilvl="1" w:tentative="0">
      <w:start w:val="1"/>
      <w:numFmt w:val="decimal"/>
      <w:pStyle w:val="244"/>
      <w:isLgl/>
      <w:lvlText w:val="%2、"/>
      <w:lvlJc w:val="left"/>
      <w:pPr>
        <w:ind w:left="0" w:firstLine="0"/>
      </w:pPr>
      <w:rPr>
        <w:rFonts w:ascii="宋体" w:hAnsi="宋体" w:eastAsia="宋体" w:cs="Times New Roman"/>
      </w:rPr>
    </w:lvl>
    <w:lvl w:ilvl="2" w:tentative="0">
      <w:start w:val="1"/>
      <w:numFmt w:val="decimal"/>
      <w:pStyle w:val="265"/>
      <w:isLgl/>
      <w:lvlText w:val="%1.%2.%3"/>
      <w:lvlJc w:val="left"/>
      <w:pPr>
        <w:ind w:left="284"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2"/>
      <w:numFmt w:val="upperLetter"/>
      <w:lvlText w:val="%6、"/>
      <w:lvlJc w:val="left"/>
      <w:pPr>
        <w:ind w:left="0" w:firstLine="0"/>
      </w:pPr>
      <w:rPr>
        <w:rFonts w:hint="default"/>
      </w:rPr>
    </w:lvl>
    <w:lvl w:ilvl="6" w:tentative="0">
      <w:start w:val="1"/>
      <w:numFmt w:val="upperLetter"/>
      <w:lvlText w:val="%7）"/>
      <w:lvlJc w:val="left"/>
      <w:pPr>
        <w:ind w:left="0" w:firstLine="0"/>
      </w:pPr>
      <w:rPr>
        <w:rFonts w:hint="default"/>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3">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58E8074C"/>
    <w:multiLevelType w:val="multilevel"/>
    <w:tmpl w:val="58E8074C"/>
    <w:lvl w:ilvl="0" w:tentative="0">
      <w:start w:val="1"/>
      <w:numFmt w:val="decimal"/>
      <w:pStyle w:val="24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A1BCFFB"/>
    <w:multiLevelType w:val="singleLevel"/>
    <w:tmpl w:val="5A1BCFFB"/>
    <w:lvl w:ilvl="0" w:tentative="0">
      <w:start w:val="1"/>
      <w:numFmt w:val="chineseCounting"/>
      <w:suff w:val="nothing"/>
      <w:lvlText w:val="%1、"/>
      <w:lvlJc w:val="left"/>
    </w:lvl>
  </w:abstractNum>
  <w:abstractNum w:abstractNumId="6">
    <w:nsid w:val="5A1BD0B8"/>
    <w:multiLevelType w:val="singleLevel"/>
    <w:tmpl w:val="5A1BD0B8"/>
    <w:lvl w:ilvl="0" w:tentative="0">
      <w:start w:val="1"/>
      <w:numFmt w:val="decimal"/>
      <w:suff w:val="nothing"/>
      <w:lvlText w:val="%1、"/>
      <w:lvlJc w:val="left"/>
    </w:lvl>
  </w:abstractNum>
  <w:abstractNum w:abstractNumId="7">
    <w:nsid w:val="5A1BD99D"/>
    <w:multiLevelType w:val="singleLevel"/>
    <w:tmpl w:val="5A1BD99D"/>
    <w:lvl w:ilvl="0" w:tentative="0">
      <w:start w:val="1"/>
      <w:numFmt w:val="decimal"/>
      <w:suff w:val="nothing"/>
      <w:lvlText w:val="%1）"/>
      <w:lvlJc w:val="left"/>
    </w:lvl>
  </w:abstractNum>
  <w:abstractNum w:abstractNumId="8">
    <w:nsid w:val="5A1BDA2D"/>
    <w:multiLevelType w:val="singleLevel"/>
    <w:tmpl w:val="5A1BDA2D"/>
    <w:lvl w:ilvl="0" w:tentative="0">
      <w:start w:val="17"/>
      <w:numFmt w:val="decimal"/>
      <w:suff w:val="nothing"/>
      <w:lvlText w:val="%1、"/>
      <w:lvlJc w:val="left"/>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89"/>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9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755585C"/>
    <w:multiLevelType w:val="multilevel"/>
    <w:tmpl w:val="7755585C"/>
    <w:lvl w:ilvl="0" w:tentative="0">
      <w:start w:val="1"/>
      <w:numFmt w:val="bullet"/>
      <w:pStyle w:val="129"/>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0"/>
  </w:num>
  <w:num w:numId="2">
    <w:abstractNumId w:val="3"/>
  </w:num>
  <w:num w:numId="3">
    <w:abstractNumId w:val="1"/>
  </w:num>
  <w:num w:numId="4">
    <w:abstractNumId w:val="0"/>
  </w:num>
  <w:num w:numId="5">
    <w:abstractNumId w:val="2"/>
  </w:num>
  <w:num w:numId="6">
    <w:abstractNumId w:val="4"/>
  </w:num>
  <w:num w:numId="7">
    <w:abstractNumId w:val="9"/>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ZGVmMzFmNDcwOWZiZmYwYjYzYzQwY2NiNzY4M2YifQ=="/>
  </w:docVars>
  <w:rsids>
    <w:rsidRoot w:val="00172A27"/>
    <w:rsid w:val="0000049C"/>
    <w:rsid w:val="00001411"/>
    <w:rsid w:val="00002242"/>
    <w:rsid w:val="00002C21"/>
    <w:rsid w:val="000034D9"/>
    <w:rsid w:val="0000579E"/>
    <w:rsid w:val="00005F38"/>
    <w:rsid w:val="00010465"/>
    <w:rsid w:val="00010F11"/>
    <w:rsid w:val="00014259"/>
    <w:rsid w:val="00017CD2"/>
    <w:rsid w:val="00017DB9"/>
    <w:rsid w:val="00020C39"/>
    <w:rsid w:val="000213A1"/>
    <w:rsid w:val="00022436"/>
    <w:rsid w:val="00022AEC"/>
    <w:rsid w:val="0002456F"/>
    <w:rsid w:val="00024B61"/>
    <w:rsid w:val="000250B9"/>
    <w:rsid w:val="00025702"/>
    <w:rsid w:val="0003083B"/>
    <w:rsid w:val="00030BF6"/>
    <w:rsid w:val="0003450D"/>
    <w:rsid w:val="00037F26"/>
    <w:rsid w:val="00040E22"/>
    <w:rsid w:val="000414DD"/>
    <w:rsid w:val="00043E38"/>
    <w:rsid w:val="000511BC"/>
    <w:rsid w:val="000517BE"/>
    <w:rsid w:val="00052960"/>
    <w:rsid w:val="00053F38"/>
    <w:rsid w:val="00054B84"/>
    <w:rsid w:val="00054D5F"/>
    <w:rsid w:val="00055179"/>
    <w:rsid w:val="00055832"/>
    <w:rsid w:val="00055BEF"/>
    <w:rsid w:val="0005651C"/>
    <w:rsid w:val="00056E04"/>
    <w:rsid w:val="0005747C"/>
    <w:rsid w:val="0005751C"/>
    <w:rsid w:val="00060DAC"/>
    <w:rsid w:val="000611B9"/>
    <w:rsid w:val="000615F2"/>
    <w:rsid w:val="00062021"/>
    <w:rsid w:val="0006399C"/>
    <w:rsid w:val="000768B1"/>
    <w:rsid w:val="00077E38"/>
    <w:rsid w:val="00080259"/>
    <w:rsid w:val="00081B48"/>
    <w:rsid w:val="00083C5F"/>
    <w:rsid w:val="00083E2E"/>
    <w:rsid w:val="000843ED"/>
    <w:rsid w:val="00085584"/>
    <w:rsid w:val="000864FC"/>
    <w:rsid w:val="00092AA6"/>
    <w:rsid w:val="0009378D"/>
    <w:rsid w:val="000953E0"/>
    <w:rsid w:val="00095731"/>
    <w:rsid w:val="00095ACC"/>
    <w:rsid w:val="000973F5"/>
    <w:rsid w:val="000A1714"/>
    <w:rsid w:val="000A1FC2"/>
    <w:rsid w:val="000A2AB9"/>
    <w:rsid w:val="000A3245"/>
    <w:rsid w:val="000A4381"/>
    <w:rsid w:val="000A5373"/>
    <w:rsid w:val="000A56FD"/>
    <w:rsid w:val="000A6702"/>
    <w:rsid w:val="000A736F"/>
    <w:rsid w:val="000B212F"/>
    <w:rsid w:val="000B5827"/>
    <w:rsid w:val="000B5C12"/>
    <w:rsid w:val="000B6106"/>
    <w:rsid w:val="000B6D25"/>
    <w:rsid w:val="000B7B30"/>
    <w:rsid w:val="000C11BD"/>
    <w:rsid w:val="000C231E"/>
    <w:rsid w:val="000C2951"/>
    <w:rsid w:val="000C37FD"/>
    <w:rsid w:val="000C3DDA"/>
    <w:rsid w:val="000C4FA5"/>
    <w:rsid w:val="000D0725"/>
    <w:rsid w:val="000D0CBA"/>
    <w:rsid w:val="000D1679"/>
    <w:rsid w:val="000D19E0"/>
    <w:rsid w:val="000D2538"/>
    <w:rsid w:val="000D3955"/>
    <w:rsid w:val="000D6C13"/>
    <w:rsid w:val="000D6C91"/>
    <w:rsid w:val="000D7238"/>
    <w:rsid w:val="000D76FF"/>
    <w:rsid w:val="000E017A"/>
    <w:rsid w:val="000E066B"/>
    <w:rsid w:val="000E18E1"/>
    <w:rsid w:val="000E26D0"/>
    <w:rsid w:val="000E36D8"/>
    <w:rsid w:val="000E3EBD"/>
    <w:rsid w:val="000E41DB"/>
    <w:rsid w:val="000E605B"/>
    <w:rsid w:val="000E7478"/>
    <w:rsid w:val="000E77FA"/>
    <w:rsid w:val="000F0037"/>
    <w:rsid w:val="000F08A4"/>
    <w:rsid w:val="000F252B"/>
    <w:rsid w:val="000F30BD"/>
    <w:rsid w:val="000F36F9"/>
    <w:rsid w:val="000F44A3"/>
    <w:rsid w:val="000F44EC"/>
    <w:rsid w:val="000F54FA"/>
    <w:rsid w:val="000F5FF1"/>
    <w:rsid w:val="000F78CE"/>
    <w:rsid w:val="0010054D"/>
    <w:rsid w:val="00102DEE"/>
    <w:rsid w:val="00105A57"/>
    <w:rsid w:val="00106D79"/>
    <w:rsid w:val="0010759A"/>
    <w:rsid w:val="001105B1"/>
    <w:rsid w:val="001122FB"/>
    <w:rsid w:val="00113130"/>
    <w:rsid w:val="001135A4"/>
    <w:rsid w:val="00114119"/>
    <w:rsid w:val="00114BD4"/>
    <w:rsid w:val="00115622"/>
    <w:rsid w:val="00115A6B"/>
    <w:rsid w:val="00116545"/>
    <w:rsid w:val="00120299"/>
    <w:rsid w:val="0012173B"/>
    <w:rsid w:val="001217A5"/>
    <w:rsid w:val="0012226D"/>
    <w:rsid w:val="00122A4B"/>
    <w:rsid w:val="0012318F"/>
    <w:rsid w:val="00123B62"/>
    <w:rsid w:val="0012445A"/>
    <w:rsid w:val="001246BD"/>
    <w:rsid w:val="00124A3F"/>
    <w:rsid w:val="001265B7"/>
    <w:rsid w:val="00126EDC"/>
    <w:rsid w:val="00132280"/>
    <w:rsid w:val="00133342"/>
    <w:rsid w:val="00133ED4"/>
    <w:rsid w:val="00134125"/>
    <w:rsid w:val="00135364"/>
    <w:rsid w:val="001378C1"/>
    <w:rsid w:val="0014305B"/>
    <w:rsid w:val="00144D42"/>
    <w:rsid w:val="001470BA"/>
    <w:rsid w:val="001503D0"/>
    <w:rsid w:val="00152009"/>
    <w:rsid w:val="001533BD"/>
    <w:rsid w:val="00153D5C"/>
    <w:rsid w:val="00154B94"/>
    <w:rsid w:val="00155D63"/>
    <w:rsid w:val="0015665D"/>
    <w:rsid w:val="00156F17"/>
    <w:rsid w:val="00157B93"/>
    <w:rsid w:val="00160232"/>
    <w:rsid w:val="001610B1"/>
    <w:rsid w:val="0016296D"/>
    <w:rsid w:val="00163998"/>
    <w:rsid w:val="0016650D"/>
    <w:rsid w:val="00166D69"/>
    <w:rsid w:val="00167D83"/>
    <w:rsid w:val="001702D3"/>
    <w:rsid w:val="00170719"/>
    <w:rsid w:val="00170900"/>
    <w:rsid w:val="001716CC"/>
    <w:rsid w:val="0017241F"/>
    <w:rsid w:val="00172A27"/>
    <w:rsid w:val="00173413"/>
    <w:rsid w:val="00174B2E"/>
    <w:rsid w:val="00175F18"/>
    <w:rsid w:val="00176575"/>
    <w:rsid w:val="00176BCE"/>
    <w:rsid w:val="0017735C"/>
    <w:rsid w:val="00181D06"/>
    <w:rsid w:val="0018218D"/>
    <w:rsid w:val="001827CE"/>
    <w:rsid w:val="00182915"/>
    <w:rsid w:val="00182C3F"/>
    <w:rsid w:val="00183423"/>
    <w:rsid w:val="0018729C"/>
    <w:rsid w:val="00187E1D"/>
    <w:rsid w:val="0019069F"/>
    <w:rsid w:val="00191F05"/>
    <w:rsid w:val="00197767"/>
    <w:rsid w:val="001977AB"/>
    <w:rsid w:val="001978F8"/>
    <w:rsid w:val="001A0898"/>
    <w:rsid w:val="001A1C6B"/>
    <w:rsid w:val="001A2A3D"/>
    <w:rsid w:val="001A3DD7"/>
    <w:rsid w:val="001A489B"/>
    <w:rsid w:val="001A4F39"/>
    <w:rsid w:val="001A68AA"/>
    <w:rsid w:val="001A761B"/>
    <w:rsid w:val="001B0AF8"/>
    <w:rsid w:val="001B1036"/>
    <w:rsid w:val="001B288C"/>
    <w:rsid w:val="001B391C"/>
    <w:rsid w:val="001B4B4A"/>
    <w:rsid w:val="001B4EF3"/>
    <w:rsid w:val="001B50E8"/>
    <w:rsid w:val="001B73B5"/>
    <w:rsid w:val="001B76C1"/>
    <w:rsid w:val="001C3FB5"/>
    <w:rsid w:val="001C547D"/>
    <w:rsid w:val="001C6519"/>
    <w:rsid w:val="001C6809"/>
    <w:rsid w:val="001D0F06"/>
    <w:rsid w:val="001D1105"/>
    <w:rsid w:val="001D1122"/>
    <w:rsid w:val="001D2105"/>
    <w:rsid w:val="001D3CBE"/>
    <w:rsid w:val="001D4085"/>
    <w:rsid w:val="001D527B"/>
    <w:rsid w:val="001D5742"/>
    <w:rsid w:val="001D5744"/>
    <w:rsid w:val="001D746A"/>
    <w:rsid w:val="001D74FC"/>
    <w:rsid w:val="001D7850"/>
    <w:rsid w:val="001D7E37"/>
    <w:rsid w:val="001E0627"/>
    <w:rsid w:val="001E1080"/>
    <w:rsid w:val="001E1E67"/>
    <w:rsid w:val="001E4587"/>
    <w:rsid w:val="001E4EF1"/>
    <w:rsid w:val="001E5D14"/>
    <w:rsid w:val="001E6AEC"/>
    <w:rsid w:val="001F018D"/>
    <w:rsid w:val="001F0D99"/>
    <w:rsid w:val="001F0FF8"/>
    <w:rsid w:val="001F3DEA"/>
    <w:rsid w:val="001F3EB6"/>
    <w:rsid w:val="001F3FD3"/>
    <w:rsid w:val="001F5887"/>
    <w:rsid w:val="001F67D7"/>
    <w:rsid w:val="001F7F70"/>
    <w:rsid w:val="00200F58"/>
    <w:rsid w:val="00201C82"/>
    <w:rsid w:val="00202D1B"/>
    <w:rsid w:val="002033D9"/>
    <w:rsid w:val="002048E2"/>
    <w:rsid w:val="00204C6B"/>
    <w:rsid w:val="002050E0"/>
    <w:rsid w:val="00205166"/>
    <w:rsid w:val="002054AD"/>
    <w:rsid w:val="0020723A"/>
    <w:rsid w:val="00207550"/>
    <w:rsid w:val="00210640"/>
    <w:rsid w:val="00211032"/>
    <w:rsid w:val="00212F8B"/>
    <w:rsid w:val="00213030"/>
    <w:rsid w:val="002135B7"/>
    <w:rsid w:val="0021400A"/>
    <w:rsid w:val="00214A03"/>
    <w:rsid w:val="002166C2"/>
    <w:rsid w:val="00216C38"/>
    <w:rsid w:val="002179B3"/>
    <w:rsid w:val="002206E5"/>
    <w:rsid w:val="00221710"/>
    <w:rsid w:val="002219BB"/>
    <w:rsid w:val="0022245B"/>
    <w:rsid w:val="002234F7"/>
    <w:rsid w:val="00223A6A"/>
    <w:rsid w:val="00223DCE"/>
    <w:rsid w:val="00224A44"/>
    <w:rsid w:val="002308EC"/>
    <w:rsid w:val="00230B9D"/>
    <w:rsid w:val="00230DF6"/>
    <w:rsid w:val="0023168B"/>
    <w:rsid w:val="00232015"/>
    <w:rsid w:val="00232601"/>
    <w:rsid w:val="00233C55"/>
    <w:rsid w:val="002347DA"/>
    <w:rsid w:val="002348CB"/>
    <w:rsid w:val="00236666"/>
    <w:rsid w:val="0023694E"/>
    <w:rsid w:val="00237553"/>
    <w:rsid w:val="00237CA5"/>
    <w:rsid w:val="0024002E"/>
    <w:rsid w:val="00241791"/>
    <w:rsid w:val="00242FC3"/>
    <w:rsid w:val="002436E4"/>
    <w:rsid w:val="00243C5B"/>
    <w:rsid w:val="00244856"/>
    <w:rsid w:val="00246AF4"/>
    <w:rsid w:val="002470C1"/>
    <w:rsid w:val="002474CB"/>
    <w:rsid w:val="002478F4"/>
    <w:rsid w:val="00247927"/>
    <w:rsid w:val="00247C25"/>
    <w:rsid w:val="002525FF"/>
    <w:rsid w:val="0025292D"/>
    <w:rsid w:val="0025311D"/>
    <w:rsid w:val="00254754"/>
    <w:rsid w:val="00261430"/>
    <w:rsid w:val="00262F43"/>
    <w:rsid w:val="0027395D"/>
    <w:rsid w:val="00274864"/>
    <w:rsid w:val="002777D9"/>
    <w:rsid w:val="00277DF9"/>
    <w:rsid w:val="00280307"/>
    <w:rsid w:val="002818E4"/>
    <w:rsid w:val="00282742"/>
    <w:rsid w:val="00284F90"/>
    <w:rsid w:val="002855BE"/>
    <w:rsid w:val="0028690A"/>
    <w:rsid w:val="00287405"/>
    <w:rsid w:val="00287D60"/>
    <w:rsid w:val="0029004B"/>
    <w:rsid w:val="00294037"/>
    <w:rsid w:val="002948D5"/>
    <w:rsid w:val="00296C85"/>
    <w:rsid w:val="00296D17"/>
    <w:rsid w:val="002A0E60"/>
    <w:rsid w:val="002A29FF"/>
    <w:rsid w:val="002A753B"/>
    <w:rsid w:val="002B0D23"/>
    <w:rsid w:val="002B122C"/>
    <w:rsid w:val="002B14B4"/>
    <w:rsid w:val="002B1F58"/>
    <w:rsid w:val="002B71CD"/>
    <w:rsid w:val="002B7E82"/>
    <w:rsid w:val="002C0007"/>
    <w:rsid w:val="002C1758"/>
    <w:rsid w:val="002C22A8"/>
    <w:rsid w:val="002C2938"/>
    <w:rsid w:val="002C3E0B"/>
    <w:rsid w:val="002C4259"/>
    <w:rsid w:val="002C42D9"/>
    <w:rsid w:val="002C43A5"/>
    <w:rsid w:val="002C5D2C"/>
    <w:rsid w:val="002D044A"/>
    <w:rsid w:val="002D0C83"/>
    <w:rsid w:val="002D1211"/>
    <w:rsid w:val="002D3803"/>
    <w:rsid w:val="002D395D"/>
    <w:rsid w:val="002D48BB"/>
    <w:rsid w:val="002D4949"/>
    <w:rsid w:val="002D4D47"/>
    <w:rsid w:val="002E0049"/>
    <w:rsid w:val="002E0C4B"/>
    <w:rsid w:val="002E20B7"/>
    <w:rsid w:val="002E21A7"/>
    <w:rsid w:val="002E2A0E"/>
    <w:rsid w:val="002E2BAA"/>
    <w:rsid w:val="002E6107"/>
    <w:rsid w:val="002E79DA"/>
    <w:rsid w:val="002F0EBF"/>
    <w:rsid w:val="002F1068"/>
    <w:rsid w:val="002F13C2"/>
    <w:rsid w:val="002F29A2"/>
    <w:rsid w:val="002F3531"/>
    <w:rsid w:val="002F3720"/>
    <w:rsid w:val="003006D8"/>
    <w:rsid w:val="0030208E"/>
    <w:rsid w:val="0030245D"/>
    <w:rsid w:val="0030258E"/>
    <w:rsid w:val="00303189"/>
    <w:rsid w:val="00303971"/>
    <w:rsid w:val="003046FF"/>
    <w:rsid w:val="00306DF7"/>
    <w:rsid w:val="00306EBE"/>
    <w:rsid w:val="00310F62"/>
    <w:rsid w:val="00310FD6"/>
    <w:rsid w:val="003124A4"/>
    <w:rsid w:val="0031263D"/>
    <w:rsid w:val="00314951"/>
    <w:rsid w:val="00315898"/>
    <w:rsid w:val="00316530"/>
    <w:rsid w:val="00316CF9"/>
    <w:rsid w:val="00316F71"/>
    <w:rsid w:val="00321B65"/>
    <w:rsid w:val="00321D37"/>
    <w:rsid w:val="00321DA7"/>
    <w:rsid w:val="00324098"/>
    <w:rsid w:val="0032695D"/>
    <w:rsid w:val="00332B56"/>
    <w:rsid w:val="00336900"/>
    <w:rsid w:val="00340093"/>
    <w:rsid w:val="003412A8"/>
    <w:rsid w:val="003458FA"/>
    <w:rsid w:val="00345B4E"/>
    <w:rsid w:val="003462A0"/>
    <w:rsid w:val="00353224"/>
    <w:rsid w:val="00353330"/>
    <w:rsid w:val="0035527F"/>
    <w:rsid w:val="00355EA0"/>
    <w:rsid w:val="00356EE6"/>
    <w:rsid w:val="00357AD7"/>
    <w:rsid w:val="0036050A"/>
    <w:rsid w:val="00361575"/>
    <w:rsid w:val="00363835"/>
    <w:rsid w:val="00363BDC"/>
    <w:rsid w:val="00363D64"/>
    <w:rsid w:val="003640C7"/>
    <w:rsid w:val="00365EE6"/>
    <w:rsid w:val="00367A73"/>
    <w:rsid w:val="00370A49"/>
    <w:rsid w:val="003733D1"/>
    <w:rsid w:val="00376023"/>
    <w:rsid w:val="003761A1"/>
    <w:rsid w:val="00377AA6"/>
    <w:rsid w:val="00377B75"/>
    <w:rsid w:val="00380158"/>
    <w:rsid w:val="0038208B"/>
    <w:rsid w:val="0038242E"/>
    <w:rsid w:val="0038311E"/>
    <w:rsid w:val="00385E4A"/>
    <w:rsid w:val="003866C6"/>
    <w:rsid w:val="0038693D"/>
    <w:rsid w:val="00386A27"/>
    <w:rsid w:val="00390356"/>
    <w:rsid w:val="00390F01"/>
    <w:rsid w:val="00393703"/>
    <w:rsid w:val="0039416A"/>
    <w:rsid w:val="0039512B"/>
    <w:rsid w:val="00395174"/>
    <w:rsid w:val="00395C09"/>
    <w:rsid w:val="00396186"/>
    <w:rsid w:val="003A1117"/>
    <w:rsid w:val="003A1509"/>
    <w:rsid w:val="003A1D7A"/>
    <w:rsid w:val="003A3722"/>
    <w:rsid w:val="003A4558"/>
    <w:rsid w:val="003A6A85"/>
    <w:rsid w:val="003B126E"/>
    <w:rsid w:val="003B1D1E"/>
    <w:rsid w:val="003B2198"/>
    <w:rsid w:val="003B3065"/>
    <w:rsid w:val="003B3D28"/>
    <w:rsid w:val="003B7B12"/>
    <w:rsid w:val="003C1407"/>
    <w:rsid w:val="003C170E"/>
    <w:rsid w:val="003C27B4"/>
    <w:rsid w:val="003C29C5"/>
    <w:rsid w:val="003C35AC"/>
    <w:rsid w:val="003C370B"/>
    <w:rsid w:val="003C3AFF"/>
    <w:rsid w:val="003C4EB1"/>
    <w:rsid w:val="003C5852"/>
    <w:rsid w:val="003C6440"/>
    <w:rsid w:val="003D1945"/>
    <w:rsid w:val="003D622F"/>
    <w:rsid w:val="003D6BD5"/>
    <w:rsid w:val="003D7E02"/>
    <w:rsid w:val="003E2DB7"/>
    <w:rsid w:val="003E3734"/>
    <w:rsid w:val="003E378A"/>
    <w:rsid w:val="003E4037"/>
    <w:rsid w:val="003E6B39"/>
    <w:rsid w:val="003F039F"/>
    <w:rsid w:val="003F0FC3"/>
    <w:rsid w:val="003F221A"/>
    <w:rsid w:val="003F5397"/>
    <w:rsid w:val="003F57D3"/>
    <w:rsid w:val="003F5EF8"/>
    <w:rsid w:val="004029A3"/>
    <w:rsid w:val="00403424"/>
    <w:rsid w:val="004034FE"/>
    <w:rsid w:val="0040368E"/>
    <w:rsid w:val="00403DE4"/>
    <w:rsid w:val="0040444B"/>
    <w:rsid w:val="00404669"/>
    <w:rsid w:val="004070C8"/>
    <w:rsid w:val="00407331"/>
    <w:rsid w:val="00410BFA"/>
    <w:rsid w:val="0041156E"/>
    <w:rsid w:val="00411F5B"/>
    <w:rsid w:val="004132E3"/>
    <w:rsid w:val="004133B6"/>
    <w:rsid w:val="00413B88"/>
    <w:rsid w:val="004153E7"/>
    <w:rsid w:val="00415EC9"/>
    <w:rsid w:val="00417423"/>
    <w:rsid w:val="00417DA8"/>
    <w:rsid w:val="00422210"/>
    <w:rsid w:val="00423045"/>
    <w:rsid w:val="004235A8"/>
    <w:rsid w:val="00423BE3"/>
    <w:rsid w:val="00424247"/>
    <w:rsid w:val="00424552"/>
    <w:rsid w:val="00424FD9"/>
    <w:rsid w:val="0042556A"/>
    <w:rsid w:val="00425592"/>
    <w:rsid w:val="00425C48"/>
    <w:rsid w:val="00430409"/>
    <w:rsid w:val="00432349"/>
    <w:rsid w:val="00432D3B"/>
    <w:rsid w:val="004341B0"/>
    <w:rsid w:val="0043538D"/>
    <w:rsid w:val="00435B49"/>
    <w:rsid w:val="00436E4B"/>
    <w:rsid w:val="004374A0"/>
    <w:rsid w:val="00440B11"/>
    <w:rsid w:val="0044135D"/>
    <w:rsid w:val="004413BC"/>
    <w:rsid w:val="004425A5"/>
    <w:rsid w:val="00442D1F"/>
    <w:rsid w:val="00445E09"/>
    <w:rsid w:val="00447260"/>
    <w:rsid w:val="00450903"/>
    <w:rsid w:val="00450FEF"/>
    <w:rsid w:val="004528C8"/>
    <w:rsid w:val="00452A47"/>
    <w:rsid w:val="00453BF9"/>
    <w:rsid w:val="00455739"/>
    <w:rsid w:val="0045613B"/>
    <w:rsid w:val="00456EFB"/>
    <w:rsid w:val="00457BF6"/>
    <w:rsid w:val="0046098A"/>
    <w:rsid w:val="00460F84"/>
    <w:rsid w:val="00461286"/>
    <w:rsid w:val="0046153B"/>
    <w:rsid w:val="00462F91"/>
    <w:rsid w:val="00463910"/>
    <w:rsid w:val="00464272"/>
    <w:rsid w:val="00465B43"/>
    <w:rsid w:val="00465C44"/>
    <w:rsid w:val="00466B76"/>
    <w:rsid w:val="0047053D"/>
    <w:rsid w:val="00470701"/>
    <w:rsid w:val="00470B9E"/>
    <w:rsid w:val="00470C13"/>
    <w:rsid w:val="00470F91"/>
    <w:rsid w:val="004713A7"/>
    <w:rsid w:val="004733D2"/>
    <w:rsid w:val="0047546F"/>
    <w:rsid w:val="0047796D"/>
    <w:rsid w:val="00477D3E"/>
    <w:rsid w:val="0048050D"/>
    <w:rsid w:val="00481E72"/>
    <w:rsid w:val="004822C2"/>
    <w:rsid w:val="004830DF"/>
    <w:rsid w:val="004856A8"/>
    <w:rsid w:val="00485E0F"/>
    <w:rsid w:val="0048626E"/>
    <w:rsid w:val="004865A5"/>
    <w:rsid w:val="00487849"/>
    <w:rsid w:val="00487EFB"/>
    <w:rsid w:val="004901B2"/>
    <w:rsid w:val="00490C1B"/>
    <w:rsid w:val="00491363"/>
    <w:rsid w:val="0049166B"/>
    <w:rsid w:val="00493191"/>
    <w:rsid w:val="00493660"/>
    <w:rsid w:val="00494DE7"/>
    <w:rsid w:val="004958A5"/>
    <w:rsid w:val="00496E15"/>
    <w:rsid w:val="004974CB"/>
    <w:rsid w:val="004A0AB2"/>
    <w:rsid w:val="004A181F"/>
    <w:rsid w:val="004A1AAF"/>
    <w:rsid w:val="004A2273"/>
    <w:rsid w:val="004A2DCA"/>
    <w:rsid w:val="004A33CE"/>
    <w:rsid w:val="004A5EA9"/>
    <w:rsid w:val="004A719C"/>
    <w:rsid w:val="004B08DF"/>
    <w:rsid w:val="004B0F7E"/>
    <w:rsid w:val="004B4E1A"/>
    <w:rsid w:val="004B5174"/>
    <w:rsid w:val="004B57C1"/>
    <w:rsid w:val="004B6997"/>
    <w:rsid w:val="004B7142"/>
    <w:rsid w:val="004C0EE8"/>
    <w:rsid w:val="004C233D"/>
    <w:rsid w:val="004C30B6"/>
    <w:rsid w:val="004C4BA9"/>
    <w:rsid w:val="004C5020"/>
    <w:rsid w:val="004C6140"/>
    <w:rsid w:val="004C673E"/>
    <w:rsid w:val="004C6E98"/>
    <w:rsid w:val="004C7EAA"/>
    <w:rsid w:val="004D138D"/>
    <w:rsid w:val="004D32B1"/>
    <w:rsid w:val="004D345C"/>
    <w:rsid w:val="004D57AF"/>
    <w:rsid w:val="004D7639"/>
    <w:rsid w:val="004E2451"/>
    <w:rsid w:val="004E2529"/>
    <w:rsid w:val="004E2768"/>
    <w:rsid w:val="004E3CE0"/>
    <w:rsid w:val="004E4CF2"/>
    <w:rsid w:val="004E5F94"/>
    <w:rsid w:val="004E6CB7"/>
    <w:rsid w:val="004E7F09"/>
    <w:rsid w:val="004F3F97"/>
    <w:rsid w:val="004F4BC9"/>
    <w:rsid w:val="00500211"/>
    <w:rsid w:val="00500246"/>
    <w:rsid w:val="00500813"/>
    <w:rsid w:val="00502FA1"/>
    <w:rsid w:val="00503BF9"/>
    <w:rsid w:val="00503D78"/>
    <w:rsid w:val="00507361"/>
    <w:rsid w:val="00507365"/>
    <w:rsid w:val="005107A0"/>
    <w:rsid w:val="00511237"/>
    <w:rsid w:val="00512949"/>
    <w:rsid w:val="005142F4"/>
    <w:rsid w:val="005147B5"/>
    <w:rsid w:val="005149E7"/>
    <w:rsid w:val="00515798"/>
    <w:rsid w:val="00515D50"/>
    <w:rsid w:val="00516BEB"/>
    <w:rsid w:val="00516D76"/>
    <w:rsid w:val="00516EC4"/>
    <w:rsid w:val="0052071B"/>
    <w:rsid w:val="00520732"/>
    <w:rsid w:val="0052256B"/>
    <w:rsid w:val="005231C2"/>
    <w:rsid w:val="00523EF9"/>
    <w:rsid w:val="005244EE"/>
    <w:rsid w:val="0052471D"/>
    <w:rsid w:val="00524825"/>
    <w:rsid w:val="00525F80"/>
    <w:rsid w:val="005272DF"/>
    <w:rsid w:val="0052790C"/>
    <w:rsid w:val="00530256"/>
    <w:rsid w:val="0053159F"/>
    <w:rsid w:val="00531638"/>
    <w:rsid w:val="00533DC9"/>
    <w:rsid w:val="00534923"/>
    <w:rsid w:val="005352B5"/>
    <w:rsid w:val="00535AED"/>
    <w:rsid w:val="00536E80"/>
    <w:rsid w:val="00537415"/>
    <w:rsid w:val="00537FAA"/>
    <w:rsid w:val="00537FD2"/>
    <w:rsid w:val="00541174"/>
    <w:rsid w:val="00542CE0"/>
    <w:rsid w:val="00544D0E"/>
    <w:rsid w:val="005471B2"/>
    <w:rsid w:val="00550062"/>
    <w:rsid w:val="00550306"/>
    <w:rsid w:val="00551E3F"/>
    <w:rsid w:val="00553FFF"/>
    <w:rsid w:val="0055593B"/>
    <w:rsid w:val="00560C1F"/>
    <w:rsid w:val="005623DA"/>
    <w:rsid w:val="00563DDA"/>
    <w:rsid w:val="00565091"/>
    <w:rsid w:val="005651A3"/>
    <w:rsid w:val="00566AEC"/>
    <w:rsid w:val="00566DCB"/>
    <w:rsid w:val="005714B6"/>
    <w:rsid w:val="00571BDE"/>
    <w:rsid w:val="00572138"/>
    <w:rsid w:val="00572625"/>
    <w:rsid w:val="005728F3"/>
    <w:rsid w:val="00572AD6"/>
    <w:rsid w:val="00573250"/>
    <w:rsid w:val="00573482"/>
    <w:rsid w:val="0057374B"/>
    <w:rsid w:val="005748AD"/>
    <w:rsid w:val="00575C6E"/>
    <w:rsid w:val="00575F5E"/>
    <w:rsid w:val="005763F6"/>
    <w:rsid w:val="005764BA"/>
    <w:rsid w:val="00581663"/>
    <w:rsid w:val="00581AC8"/>
    <w:rsid w:val="005823BF"/>
    <w:rsid w:val="00583717"/>
    <w:rsid w:val="00584770"/>
    <w:rsid w:val="00586A6C"/>
    <w:rsid w:val="005875A3"/>
    <w:rsid w:val="00587A90"/>
    <w:rsid w:val="00590540"/>
    <w:rsid w:val="00590EEA"/>
    <w:rsid w:val="005920C9"/>
    <w:rsid w:val="00593AA1"/>
    <w:rsid w:val="00594AC6"/>
    <w:rsid w:val="005955FC"/>
    <w:rsid w:val="00595FFD"/>
    <w:rsid w:val="00596603"/>
    <w:rsid w:val="005A0DF0"/>
    <w:rsid w:val="005A19EE"/>
    <w:rsid w:val="005A26EB"/>
    <w:rsid w:val="005A4B1F"/>
    <w:rsid w:val="005A508C"/>
    <w:rsid w:val="005A5C9C"/>
    <w:rsid w:val="005A7391"/>
    <w:rsid w:val="005A74C0"/>
    <w:rsid w:val="005A7F42"/>
    <w:rsid w:val="005B1E9D"/>
    <w:rsid w:val="005B203D"/>
    <w:rsid w:val="005B2D6D"/>
    <w:rsid w:val="005B304E"/>
    <w:rsid w:val="005B3CE7"/>
    <w:rsid w:val="005B51FE"/>
    <w:rsid w:val="005B5BAC"/>
    <w:rsid w:val="005B5CF6"/>
    <w:rsid w:val="005B5E15"/>
    <w:rsid w:val="005B79CE"/>
    <w:rsid w:val="005B7AAE"/>
    <w:rsid w:val="005C2015"/>
    <w:rsid w:val="005C335C"/>
    <w:rsid w:val="005C5E42"/>
    <w:rsid w:val="005C65AC"/>
    <w:rsid w:val="005C6B26"/>
    <w:rsid w:val="005C6C39"/>
    <w:rsid w:val="005C7420"/>
    <w:rsid w:val="005C7C04"/>
    <w:rsid w:val="005D0052"/>
    <w:rsid w:val="005D1675"/>
    <w:rsid w:val="005D1ABE"/>
    <w:rsid w:val="005D1C72"/>
    <w:rsid w:val="005D4220"/>
    <w:rsid w:val="005D43E2"/>
    <w:rsid w:val="005D4A4D"/>
    <w:rsid w:val="005D5C5D"/>
    <w:rsid w:val="005D64F8"/>
    <w:rsid w:val="005D72C5"/>
    <w:rsid w:val="005D7386"/>
    <w:rsid w:val="005E03DF"/>
    <w:rsid w:val="005E1370"/>
    <w:rsid w:val="005E20C0"/>
    <w:rsid w:val="005E335B"/>
    <w:rsid w:val="005E3665"/>
    <w:rsid w:val="005E4365"/>
    <w:rsid w:val="005E5DBB"/>
    <w:rsid w:val="005E7BEE"/>
    <w:rsid w:val="005F1287"/>
    <w:rsid w:val="005F1B76"/>
    <w:rsid w:val="005F2B54"/>
    <w:rsid w:val="005F2FF5"/>
    <w:rsid w:val="005F4836"/>
    <w:rsid w:val="005F4944"/>
    <w:rsid w:val="005F4E00"/>
    <w:rsid w:val="005F5271"/>
    <w:rsid w:val="005F666C"/>
    <w:rsid w:val="005F6FFE"/>
    <w:rsid w:val="005F70D6"/>
    <w:rsid w:val="005F77A2"/>
    <w:rsid w:val="006003CB"/>
    <w:rsid w:val="00600A1B"/>
    <w:rsid w:val="006023E0"/>
    <w:rsid w:val="00602A73"/>
    <w:rsid w:val="006038AA"/>
    <w:rsid w:val="006049E4"/>
    <w:rsid w:val="00604D69"/>
    <w:rsid w:val="00605EE4"/>
    <w:rsid w:val="0060646A"/>
    <w:rsid w:val="00606BD4"/>
    <w:rsid w:val="006077B1"/>
    <w:rsid w:val="00610630"/>
    <w:rsid w:val="006109FD"/>
    <w:rsid w:val="00610C37"/>
    <w:rsid w:val="00610C86"/>
    <w:rsid w:val="00611543"/>
    <w:rsid w:val="00612154"/>
    <w:rsid w:val="00612B8B"/>
    <w:rsid w:val="006133DA"/>
    <w:rsid w:val="00616D14"/>
    <w:rsid w:val="00616FD3"/>
    <w:rsid w:val="00617E6C"/>
    <w:rsid w:val="00620725"/>
    <w:rsid w:val="00621DFD"/>
    <w:rsid w:val="006221A6"/>
    <w:rsid w:val="0062346B"/>
    <w:rsid w:val="00623FA8"/>
    <w:rsid w:val="006242C5"/>
    <w:rsid w:val="00625EA5"/>
    <w:rsid w:val="006268F2"/>
    <w:rsid w:val="00626C83"/>
    <w:rsid w:val="0062739B"/>
    <w:rsid w:val="006300E2"/>
    <w:rsid w:val="00631C7C"/>
    <w:rsid w:val="00631CB3"/>
    <w:rsid w:val="00632A15"/>
    <w:rsid w:val="0063356B"/>
    <w:rsid w:val="0063514F"/>
    <w:rsid w:val="00637066"/>
    <w:rsid w:val="00641B86"/>
    <w:rsid w:val="006460F3"/>
    <w:rsid w:val="00646D13"/>
    <w:rsid w:val="006475B0"/>
    <w:rsid w:val="006479C4"/>
    <w:rsid w:val="006502E3"/>
    <w:rsid w:val="00651BAA"/>
    <w:rsid w:val="00651D83"/>
    <w:rsid w:val="00652A06"/>
    <w:rsid w:val="00652A40"/>
    <w:rsid w:val="00654A44"/>
    <w:rsid w:val="00656700"/>
    <w:rsid w:val="006567FE"/>
    <w:rsid w:val="00660A44"/>
    <w:rsid w:val="00661011"/>
    <w:rsid w:val="00661AC1"/>
    <w:rsid w:val="0066252C"/>
    <w:rsid w:val="00663E72"/>
    <w:rsid w:val="006644FA"/>
    <w:rsid w:val="00664F9A"/>
    <w:rsid w:val="00666EF7"/>
    <w:rsid w:val="00667459"/>
    <w:rsid w:val="00667AC2"/>
    <w:rsid w:val="00667E9F"/>
    <w:rsid w:val="006726E3"/>
    <w:rsid w:val="00675654"/>
    <w:rsid w:val="00676368"/>
    <w:rsid w:val="0067643F"/>
    <w:rsid w:val="006769C8"/>
    <w:rsid w:val="00681B02"/>
    <w:rsid w:val="0068267F"/>
    <w:rsid w:val="00682ECA"/>
    <w:rsid w:val="006833AE"/>
    <w:rsid w:val="00685F46"/>
    <w:rsid w:val="00686544"/>
    <w:rsid w:val="006874DD"/>
    <w:rsid w:val="00687688"/>
    <w:rsid w:val="00687E97"/>
    <w:rsid w:val="006931E4"/>
    <w:rsid w:val="00693447"/>
    <w:rsid w:val="0069365B"/>
    <w:rsid w:val="00693AC3"/>
    <w:rsid w:val="0069588A"/>
    <w:rsid w:val="00696867"/>
    <w:rsid w:val="00696FD8"/>
    <w:rsid w:val="00697CE7"/>
    <w:rsid w:val="006A0252"/>
    <w:rsid w:val="006A028A"/>
    <w:rsid w:val="006A04EC"/>
    <w:rsid w:val="006A0B23"/>
    <w:rsid w:val="006A2AEF"/>
    <w:rsid w:val="006A2EBA"/>
    <w:rsid w:val="006A35AF"/>
    <w:rsid w:val="006A370A"/>
    <w:rsid w:val="006A3CD2"/>
    <w:rsid w:val="006A3E80"/>
    <w:rsid w:val="006A4AEA"/>
    <w:rsid w:val="006A5448"/>
    <w:rsid w:val="006A5B34"/>
    <w:rsid w:val="006B1A1F"/>
    <w:rsid w:val="006B3200"/>
    <w:rsid w:val="006B33FC"/>
    <w:rsid w:val="006B537F"/>
    <w:rsid w:val="006B5B03"/>
    <w:rsid w:val="006B644C"/>
    <w:rsid w:val="006C05A2"/>
    <w:rsid w:val="006C0FC7"/>
    <w:rsid w:val="006C117C"/>
    <w:rsid w:val="006C19E0"/>
    <w:rsid w:val="006C29D1"/>
    <w:rsid w:val="006C2BA0"/>
    <w:rsid w:val="006C3100"/>
    <w:rsid w:val="006C4568"/>
    <w:rsid w:val="006C655F"/>
    <w:rsid w:val="006D1077"/>
    <w:rsid w:val="006D1D46"/>
    <w:rsid w:val="006D4703"/>
    <w:rsid w:val="006D4707"/>
    <w:rsid w:val="006D49C8"/>
    <w:rsid w:val="006D5099"/>
    <w:rsid w:val="006D611D"/>
    <w:rsid w:val="006D66D1"/>
    <w:rsid w:val="006D6A47"/>
    <w:rsid w:val="006D6E90"/>
    <w:rsid w:val="006D744D"/>
    <w:rsid w:val="006E19E6"/>
    <w:rsid w:val="006E1C23"/>
    <w:rsid w:val="006E2FDF"/>
    <w:rsid w:val="006E332A"/>
    <w:rsid w:val="006E35E2"/>
    <w:rsid w:val="006E3E6B"/>
    <w:rsid w:val="006E4584"/>
    <w:rsid w:val="006E6156"/>
    <w:rsid w:val="006E7A2B"/>
    <w:rsid w:val="006E7F3F"/>
    <w:rsid w:val="006F027D"/>
    <w:rsid w:val="006F1B52"/>
    <w:rsid w:val="006F4C78"/>
    <w:rsid w:val="006F522A"/>
    <w:rsid w:val="006F708C"/>
    <w:rsid w:val="006F72AE"/>
    <w:rsid w:val="007006BD"/>
    <w:rsid w:val="00701716"/>
    <w:rsid w:val="00701F95"/>
    <w:rsid w:val="0070200D"/>
    <w:rsid w:val="0070413D"/>
    <w:rsid w:val="00705EA5"/>
    <w:rsid w:val="00706465"/>
    <w:rsid w:val="0070658A"/>
    <w:rsid w:val="0070714A"/>
    <w:rsid w:val="00710299"/>
    <w:rsid w:val="0071528C"/>
    <w:rsid w:val="00715BF5"/>
    <w:rsid w:val="007160C3"/>
    <w:rsid w:val="007169DC"/>
    <w:rsid w:val="00717391"/>
    <w:rsid w:val="00720D36"/>
    <w:rsid w:val="00722100"/>
    <w:rsid w:val="00722434"/>
    <w:rsid w:val="00724938"/>
    <w:rsid w:val="00725B9A"/>
    <w:rsid w:val="00725C02"/>
    <w:rsid w:val="00725E4A"/>
    <w:rsid w:val="00726515"/>
    <w:rsid w:val="007265EC"/>
    <w:rsid w:val="00726BBF"/>
    <w:rsid w:val="007276A3"/>
    <w:rsid w:val="00732508"/>
    <w:rsid w:val="00733E66"/>
    <w:rsid w:val="007346F5"/>
    <w:rsid w:val="00734DFC"/>
    <w:rsid w:val="00737016"/>
    <w:rsid w:val="00737F8A"/>
    <w:rsid w:val="00741865"/>
    <w:rsid w:val="00741B3C"/>
    <w:rsid w:val="007441EC"/>
    <w:rsid w:val="00744491"/>
    <w:rsid w:val="00744919"/>
    <w:rsid w:val="00744F18"/>
    <w:rsid w:val="007450A7"/>
    <w:rsid w:val="00746885"/>
    <w:rsid w:val="00746C98"/>
    <w:rsid w:val="00747B24"/>
    <w:rsid w:val="007503B0"/>
    <w:rsid w:val="0075057A"/>
    <w:rsid w:val="00750BB5"/>
    <w:rsid w:val="007554A1"/>
    <w:rsid w:val="007557FA"/>
    <w:rsid w:val="00756BD1"/>
    <w:rsid w:val="00756C27"/>
    <w:rsid w:val="00760246"/>
    <w:rsid w:val="00760581"/>
    <w:rsid w:val="007610EF"/>
    <w:rsid w:val="00762B2B"/>
    <w:rsid w:val="0076323E"/>
    <w:rsid w:val="00764409"/>
    <w:rsid w:val="00765CB8"/>
    <w:rsid w:val="00765EA0"/>
    <w:rsid w:val="00766EBA"/>
    <w:rsid w:val="0077012F"/>
    <w:rsid w:val="007711A0"/>
    <w:rsid w:val="0077304D"/>
    <w:rsid w:val="007730F1"/>
    <w:rsid w:val="0077434C"/>
    <w:rsid w:val="00774B25"/>
    <w:rsid w:val="0077517E"/>
    <w:rsid w:val="00777086"/>
    <w:rsid w:val="0077760F"/>
    <w:rsid w:val="00777DD0"/>
    <w:rsid w:val="0078012C"/>
    <w:rsid w:val="007806BB"/>
    <w:rsid w:val="007809D5"/>
    <w:rsid w:val="00783690"/>
    <w:rsid w:val="00784BBC"/>
    <w:rsid w:val="00785328"/>
    <w:rsid w:val="00785AAA"/>
    <w:rsid w:val="00785C8C"/>
    <w:rsid w:val="0078644C"/>
    <w:rsid w:val="00787DCE"/>
    <w:rsid w:val="00790D7F"/>
    <w:rsid w:val="00791C29"/>
    <w:rsid w:val="0079630D"/>
    <w:rsid w:val="007965D2"/>
    <w:rsid w:val="00796A73"/>
    <w:rsid w:val="00796ABC"/>
    <w:rsid w:val="00797F5D"/>
    <w:rsid w:val="007A36BB"/>
    <w:rsid w:val="007A54E3"/>
    <w:rsid w:val="007A5A28"/>
    <w:rsid w:val="007A66B0"/>
    <w:rsid w:val="007A7769"/>
    <w:rsid w:val="007A7A49"/>
    <w:rsid w:val="007B02AF"/>
    <w:rsid w:val="007B04BF"/>
    <w:rsid w:val="007B0AA4"/>
    <w:rsid w:val="007B14AE"/>
    <w:rsid w:val="007B1AFB"/>
    <w:rsid w:val="007B20AC"/>
    <w:rsid w:val="007B269D"/>
    <w:rsid w:val="007B2B5B"/>
    <w:rsid w:val="007B54CB"/>
    <w:rsid w:val="007B5563"/>
    <w:rsid w:val="007B7812"/>
    <w:rsid w:val="007C11F9"/>
    <w:rsid w:val="007C1B77"/>
    <w:rsid w:val="007C1CCF"/>
    <w:rsid w:val="007C256C"/>
    <w:rsid w:val="007C30FD"/>
    <w:rsid w:val="007C419F"/>
    <w:rsid w:val="007C46B6"/>
    <w:rsid w:val="007C6779"/>
    <w:rsid w:val="007C7525"/>
    <w:rsid w:val="007D0003"/>
    <w:rsid w:val="007D0061"/>
    <w:rsid w:val="007D103B"/>
    <w:rsid w:val="007D118A"/>
    <w:rsid w:val="007D2419"/>
    <w:rsid w:val="007D30C1"/>
    <w:rsid w:val="007D3A2B"/>
    <w:rsid w:val="007D45EC"/>
    <w:rsid w:val="007D58E6"/>
    <w:rsid w:val="007D612E"/>
    <w:rsid w:val="007D6FE4"/>
    <w:rsid w:val="007E1334"/>
    <w:rsid w:val="007E24FB"/>
    <w:rsid w:val="007E7F3C"/>
    <w:rsid w:val="007F0F5F"/>
    <w:rsid w:val="007F13E8"/>
    <w:rsid w:val="007F1FE4"/>
    <w:rsid w:val="007F2A8C"/>
    <w:rsid w:val="007F2B03"/>
    <w:rsid w:val="007F30ED"/>
    <w:rsid w:val="007F3656"/>
    <w:rsid w:val="007F3B23"/>
    <w:rsid w:val="007F4067"/>
    <w:rsid w:val="007F4E18"/>
    <w:rsid w:val="007F5A23"/>
    <w:rsid w:val="007F5D4B"/>
    <w:rsid w:val="007F5DC2"/>
    <w:rsid w:val="007F763F"/>
    <w:rsid w:val="0080129A"/>
    <w:rsid w:val="008041A8"/>
    <w:rsid w:val="00805CCE"/>
    <w:rsid w:val="00811EB2"/>
    <w:rsid w:val="00813830"/>
    <w:rsid w:val="00814281"/>
    <w:rsid w:val="0081520E"/>
    <w:rsid w:val="00817C6F"/>
    <w:rsid w:val="00817E2C"/>
    <w:rsid w:val="00820833"/>
    <w:rsid w:val="00821BC7"/>
    <w:rsid w:val="00822B91"/>
    <w:rsid w:val="0082332C"/>
    <w:rsid w:val="00823AEB"/>
    <w:rsid w:val="00824A92"/>
    <w:rsid w:val="00824A97"/>
    <w:rsid w:val="00826298"/>
    <w:rsid w:val="00827B79"/>
    <w:rsid w:val="008337D3"/>
    <w:rsid w:val="008342E5"/>
    <w:rsid w:val="00836715"/>
    <w:rsid w:val="00837BCB"/>
    <w:rsid w:val="00840DEB"/>
    <w:rsid w:val="00841121"/>
    <w:rsid w:val="00841453"/>
    <w:rsid w:val="008423F6"/>
    <w:rsid w:val="008434C9"/>
    <w:rsid w:val="00843AE7"/>
    <w:rsid w:val="008464D0"/>
    <w:rsid w:val="00847E90"/>
    <w:rsid w:val="008504DE"/>
    <w:rsid w:val="00850772"/>
    <w:rsid w:val="008516C1"/>
    <w:rsid w:val="0085272E"/>
    <w:rsid w:val="0085272F"/>
    <w:rsid w:val="00856114"/>
    <w:rsid w:val="00863518"/>
    <w:rsid w:val="00863A13"/>
    <w:rsid w:val="00864797"/>
    <w:rsid w:val="0086539B"/>
    <w:rsid w:val="008657F9"/>
    <w:rsid w:val="008662BD"/>
    <w:rsid w:val="008673DC"/>
    <w:rsid w:val="00870335"/>
    <w:rsid w:val="00870E76"/>
    <w:rsid w:val="00871299"/>
    <w:rsid w:val="008717B3"/>
    <w:rsid w:val="0087272F"/>
    <w:rsid w:val="00872EF4"/>
    <w:rsid w:val="00873AC5"/>
    <w:rsid w:val="00873D91"/>
    <w:rsid w:val="00874044"/>
    <w:rsid w:val="00874C24"/>
    <w:rsid w:val="00874F9C"/>
    <w:rsid w:val="00875921"/>
    <w:rsid w:val="00880F3E"/>
    <w:rsid w:val="00880F99"/>
    <w:rsid w:val="00881549"/>
    <w:rsid w:val="00883473"/>
    <w:rsid w:val="0088395F"/>
    <w:rsid w:val="008840B7"/>
    <w:rsid w:val="00885842"/>
    <w:rsid w:val="00885DCB"/>
    <w:rsid w:val="008872E0"/>
    <w:rsid w:val="00890C59"/>
    <w:rsid w:val="0089191A"/>
    <w:rsid w:val="0089273F"/>
    <w:rsid w:val="00893AAF"/>
    <w:rsid w:val="00893EFD"/>
    <w:rsid w:val="00893F6E"/>
    <w:rsid w:val="00895431"/>
    <w:rsid w:val="00895614"/>
    <w:rsid w:val="00895AD1"/>
    <w:rsid w:val="008966E1"/>
    <w:rsid w:val="008A0106"/>
    <w:rsid w:val="008A1A26"/>
    <w:rsid w:val="008A1EB9"/>
    <w:rsid w:val="008A240E"/>
    <w:rsid w:val="008A2D28"/>
    <w:rsid w:val="008A334D"/>
    <w:rsid w:val="008A338E"/>
    <w:rsid w:val="008A4C45"/>
    <w:rsid w:val="008A5E77"/>
    <w:rsid w:val="008B4794"/>
    <w:rsid w:val="008B4BE0"/>
    <w:rsid w:val="008B64EB"/>
    <w:rsid w:val="008B68AD"/>
    <w:rsid w:val="008B6B5A"/>
    <w:rsid w:val="008C1705"/>
    <w:rsid w:val="008C218A"/>
    <w:rsid w:val="008C2431"/>
    <w:rsid w:val="008C3375"/>
    <w:rsid w:val="008C3616"/>
    <w:rsid w:val="008C3B14"/>
    <w:rsid w:val="008C3D7F"/>
    <w:rsid w:val="008C437C"/>
    <w:rsid w:val="008C5A71"/>
    <w:rsid w:val="008C68DF"/>
    <w:rsid w:val="008D1D29"/>
    <w:rsid w:val="008D3125"/>
    <w:rsid w:val="008D35CD"/>
    <w:rsid w:val="008D586D"/>
    <w:rsid w:val="008D5E7C"/>
    <w:rsid w:val="008D6103"/>
    <w:rsid w:val="008D6819"/>
    <w:rsid w:val="008D708D"/>
    <w:rsid w:val="008E0049"/>
    <w:rsid w:val="008E373F"/>
    <w:rsid w:val="008E3775"/>
    <w:rsid w:val="008E4C25"/>
    <w:rsid w:val="008E4D5D"/>
    <w:rsid w:val="008E5E70"/>
    <w:rsid w:val="008E7DF0"/>
    <w:rsid w:val="008F0260"/>
    <w:rsid w:val="008F357C"/>
    <w:rsid w:val="008F4386"/>
    <w:rsid w:val="008F5322"/>
    <w:rsid w:val="008F5DC5"/>
    <w:rsid w:val="008F7A8B"/>
    <w:rsid w:val="0090042D"/>
    <w:rsid w:val="00903BA4"/>
    <w:rsid w:val="00904C46"/>
    <w:rsid w:val="0090723F"/>
    <w:rsid w:val="00907468"/>
    <w:rsid w:val="0090766F"/>
    <w:rsid w:val="00910FAF"/>
    <w:rsid w:val="00911B71"/>
    <w:rsid w:val="00913965"/>
    <w:rsid w:val="009149A4"/>
    <w:rsid w:val="0091618D"/>
    <w:rsid w:val="0091648A"/>
    <w:rsid w:val="00916B1C"/>
    <w:rsid w:val="00917635"/>
    <w:rsid w:val="009248BD"/>
    <w:rsid w:val="009249CC"/>
    <w:rsid w:val="00925156"/>
    <w:rsid w:val="00925452"/>
    <w:rsid w:val="0092588E"/>
    <w:rsid w:val="0092718D"/>
    <w:rsid w:val="00931C5C"/>
    <w:rsid w:val="00932819"/>
    <w:rsid w:val="00934736"/>
    <w:rsid w:val="009418E2"/>
    <w:rsid w:val="00942688"/>
    <w:rsid w:val="009436B9"/>
    <w:rsid w:val="00945866"/>
    <w:rsid w:val="00945AC7"/>
    <w:rsid w:val="009470A5"/>
    <w:rsid w:val="00947AD7"/>
    <w:rsid w:val="0095183C"/>
    <w:rsid w:val="0095221D"/>
    <w:rsid w:val="0095283E"/>
    <w:rsid w:val="00952B6E"/>
    <w:rsid w:val="00953C0A"/>
    <w:rsid w:val="00953C2D"/>
    <w:rsid w:val="00954804"/>
    <w:rsid w:val="00955410"/>
    <w:rsid w:val="009557D7"/>
    <w:rsid w:val="009558AD"/>
    <w:rsid w:val="00955C69"/>
    <w:rsid w:val="009564C9"/>
    <w:rsid w:val="00956A6F"/>
    <w:rsid w:val="0095730E"/>
    <w:rsid w:val="0095763B"/>
    <w:rsid w:val="00961649"/>
    <w:rsid w:val="00962E42"/>
    <w:rsid w:val="00963477"/>
    <w:rsid w:val="00965CB4"/>
    <w:rsid w:val="00970AC6"/>
    <w:rsid w:val="00972C97"/>
    <w:rsid w:val="00975E80"/>
    <w:rsid w:val="009770C1"/>
    <w:rsid w:val="00980A32"/>
    <w:rsid w:val="009816E6"/>
    <w:rsid w:val="00981800"/>
    <w:rsid w:val="009831DB"/>
    <w:rsid w:val="00983E6D"/>
    <w:rsid w:val="009854E8"/>
    <w:rsid w:val="0098560A"/>
    <w:rsid w:val="00985F67"/>
    <w:rsid w:val="00987208"/>
    <w:rsid w:val="009907BF"/>
    <w:rsid w:val="00991914"/>
    <w:rsid w:val="00993C47"/>
    <w:rsid w:val="0099458C"/>
    <w:rsid w:val="00994933"/>
    <w:rsid w:val="00995D9C"/>
    <w:rsid w:val="00995F8D"/>
    <w:rsid w:val="00996B4C"/>
    <w:rsid w:val="009A15EA"/>
    <w:rsid w:val="009A18FD"/>
    <w:rsid w:val="009A2161"/>
    <w:rsid w:val="009A5483"/>
    <w:rsid w:val="009A575F"/>
    <w:rsid w:val="009A5AE9"/>
    <w:rsid w:val="009A5C39"/>
    <w:rsid w:val="009B0A5C"/>
    <w:rsid w:val="009B4694"/>
    <w:rsid w:val="009B58C7"/>
    <w:rsid w:val="009B6C67"/>
    <w:rsid w:val="009B7FFD"/>
    <w:rsid w:val="009C1A08"/>
    <w:rsid w:val="009C1BF4"/>
    <w:rsid w:val="009C20C6"/>
    <w:rsid w:val="009C21EA"/>
    <w:rsid w:val="009C222D"/>
    <w:rsid w:val="009C300D"/>
    <w:rsid w:val="009C432A"/>
    <w:rsid w:val="009C4959"/>
    <w:rsid w:val="009C612C"/>
    <w:rsid w:val="009D0B6E"/>
    <w:rsid w:val="009D11C0"/>
    <w:rsid w:val="009D190D"/>
    <w:rsid w:val="009D19E7"/>
    <w:rsid w:val="009D1AC5"/>
    <w:rsid w:val="009D1F34"/>
    <w:rsid w:val="009D4C12"/>
    <w:rsid w:val="009D5DA8"/>
    <w:rsid w:val="009D6A20"/>
    <w:rsid w:val="009E0191"/>
    <w:rsid w:val="009E0735"/>
    <w:rsid w:val="009E20A8"/>
    <w:rsid w:val="009E2BE8"/>
    <w:rsid w:val="009E3D8D"/>
    <w:rsid w:val="009E7DD9"/>
    <w:rsid w:val="009F08D2"/>
    <w:rsid w:val="009F1A67"/>
    <w:rsid w:val="009F2163"/>
    <w:rsid w:val="009F268F"/>
    <w:rsid w:val="009F2E7B"/>
    <w:rsid w:val="009F35E2"/>
    <w:rsid w:val="009F5578"/>
    <w:rsid w:val="009F5F1E"/>
    <w:rsid w:val="009F718D"/>
    <w:rsid w:val="009F71E2"/>
    <w:rsid w:val="009F7772"/>
    <w:rsid w:val="00A03792"/>
    <w:rsid w:val="00A04219"/>
    <w:rsid w:val="00A055A6"/>
    <w:rsid w:val="00A05A28"/>
    <w:rsid w:val="00A05A65"/>
    <w:rsid w:val="00A05CCF"/>
    <w:rsid w:val="00A05D3F"/>
    <w:rsid w:val="00A071D4"/>
    <w:rsid w:val="00A11D1C"/>
    <w:rsid w:val="00A12074"/>
    <w:rsid w:val="00A13237"/>
    <w:rsid w:val="00A1329E"/>
    <w:rsid w:val="00A1385F"/>
    <w:rsid w:val="00A1429F"/>
    <w:rsid w:val="00A175E6"/>
    <w:rsid w:val="00A17AC3"/>
    <w:rsid w:val="00A20C5F"/>
    <w:rsid w:val="00A21ADC"/>
    <w:rsid w:val="00A22156"/>
    <w:rsid w:val="00A242A3"/>
    <w:rsid w:val="00A24F07"/>
    <w:rsid w:val="00A31537"/>
    <w:rsid w:val="00A3169C"/>
    <w:rsid w:val="00A325B8"/>
    <w:rsid w:val="00A32859"/>
    <w:rsid w:val="00A35064"/>
    <w:rsid w:val="00A35824"/>
    <w:rsid w:val="00A35B98"/>
    <w:rsid w:val="00A40A3F"/>
    <w:rsid w:val="00A422FF"/>
    <w:rsid w:val="00A431F3"/>
    <w:rsid w:val="00A450B6"/>
    <w:rsid w:val="00A45523"/>
    <w:rsid w:val="00A45C50"/>
    <w:rsid w:val="00A463E3"/>
    <w:rsid w:val="00A46632"/>
    <w:rsid w:val="00A46B7E"/>
    <w:rsid w:val="00A4719A"/>
    <w:rsid w:val="00A4788F"/>
    <w:rsid w:val="00A5246D"/>
    <w:rsid w:val="00A56175"/>
    <w:rsid w:val="00A563B0"/>
    <w:rsid w:val="00A578E0"/>
    <w:rsid w:val="00A57A1D"/>
    <w:rsid w:val="00A61079"/>
    <w:rsid w:val="00A62609"/>
    <w:rsid w:val="00A632D5"/>
    <w:rsid w:val="00A64579"/>
    <w:rsid w:val="00A648AF"/>
    <w:rsid w:val="00A64B6E"/>
    <w:rsid w:val="00A67119"/>
    <w:rsid w:val="00A67822"/>
    <w:rsid w:val="00A70108"/>
    <w:rsid w:val="00A7036A"/>
    <w:rsid w:val="00A70E5C"/>
    <w:rsid w:val="00A7181E"/>
    <w:rsid w:val="00A71ADC"/>
    <w:rsid w:val="00A724B1"/>
    <w:rsid w:val="00A75863"/>
    <w:rsid w:val="00A771FD"/>
    <w:rsid w:val="00A77F18"/>
    <w:rsid w:val="00A82FD2"/>
    <w:rsid w:val="00A8356D"/>
    <w:rsid w:val="00A83775"/>
    <w:rsid w:val="00A841B6"/>
    <w:rsid w:val="00A869BF"/>
    <w:rsid w:val="00A87E08"/>
    <w:rsid w:val="00A927A1"/>
    <w:rsid w:val="00A92808"/>
    <w:rsid w:val="00A94202"/>
    <w:rsid w:val="00A947D4"/>
    <w:rsid w:val="00A95346"/>
    <w:rsid w:val="00A95E24"/>
    <w:rsid w:val="00A973D3"/>
    <w:rsid w:val="00AA0893"/>
    <w:rsid w:val="00AA097D"/>
    <w:rsid w:val="00AA1E4E"/>
    <w:rsid w:val="00AA21BA"/>
    <w:rsid w:val="00AA2F26"/>
    <w:rsid w:val="00AA4294"/>
    <w:rsid w:val="00AA547F"/>
    <w:rsid w:val="00AA688F"/>
    <w:rsid w:val="00AA7AAA"/>
    <w:rsid w:val="00AB0806"/>
    <w:rsid w:val="00AB1957"/>
    <w:rsid w:val="00AB2F43"/>
    <w:rsid w:val="00AB35E8"/>
    <w:rsid w:val="00AB481F"/>
    <w:rsid w:val="00AB6501"/>
    <w:rsid w:val="00AC0983"/>
    <w:rsid w:val="00AC11E0"/>
    <w:rsid w:val="00AC29BB"/>
    <w:rsid w:val="00AC2CF3"/>
    <w:rsid w:val="00AC4326"/>
    <w:rsid w:val="00AC6818"/>
    <w:rsid w:val="00AC76AE"/>
    <w:rsid w:val="00AD07F6"/>
    <w:rsid w:val="00AD0C36"/>
    <w:rsid w:val="00AD0D43"/>
    <w:rsid w:val="00AD2373"/>
    <w:rsid w:val="00AD28CA"/>
    <w:rsid w:val="00AD2987"/>
    <w:rsid w:val="00AD3096"/>
    <w:rsid w:val="00AD38D9"/>
    <w:rsid w:val="00AD5052"/>
    <w:rsid w:val="00AD5B82"/>
    <w:rsid w:val="00AD5D84"/>
    <w:rsid w:val="00AD6A6B"/>
    <w:rsid w:val="00AE1227"/>
    <w:rsid w:val="00AE3411"/>
    <w:rsid w:val="00AE3438"/>
    <w:rsid w:val="00AE44C6"/>
    <w:rsid w:val="00AE5104"/>
    <w:rsid w:val="00AF019F"/>
    <w:rsid w:val="00AF40B4"/>
    <w:rsid w:val="00AF4843"/>
    <w:rsid w:val="00AF596E"/>
    <w:rsid w:val="00B00602"/>
    <w:rsid w:val="00B035F8"/>
    <w:rsid w:val="00B04B1F"/>
    <w:rsid w:val="00B04E22"/>
    <w:rsid w:val="00B06BDE"/>
    <w:rsid w:val="00B072BB"/>
    <w:rsid w:val="00B073BC"/>
    <w:rsid w:val="00B07475"/>
    <w:rsid w:val="00B078CA"/>
    <w:rsid w:val="00B110FB"/>
    <w:rsid w:val="00B13838"/>
    <w:rsid w:val="00B13CAA"/>
    <w:rsid w:val="00B14822"/>
    <w:rsid w:val="00B152BA"/>
    <w:rsid w:val="00B15617"/>
    <w:rsid w:val="00B16FA7"/>
    <w:rsid w:val="00B2055D"/>
    <w:rsid w:val="00B2156E"/>
    <w:rsid w:val="00B22892"/>
    <w:rsid w:val="00B23D2A"/>
    <w:rsid w:val="00B26220"/>
    <w:rsid w:val="00B30006"/>
    <w:rsid w:val="00B307EA"/>
    <w:rsid w:val="00B30DA6"/>
    <w:rsid w:val="00B31FE3"/>
    <w:rsid w:val="00B332D3"/>
    <w:rsid w:val="00B333C6"/>
    <w:rsid w:val="00B33C49"/>
    <w:rsid w:val="00B3455C"/>
    <w:rsid w:val="00B34A06"/>
    <w:rsid w:val="00B3551B"/>
    <w:rsid w:val="00B35D29"/>
    <w:rsid w:val="00B35F87"/>
    <w:rsid w:val="00B40394"/>
    <w:rsid w:val="00B4059E"/>
    <w:rsid w:val="00B4077C"/>
    <w:rsid w:val="00B4174B"/>
    <w:rsid w:val="00B41C2E"/>
    <w:rsid w:val="00B422D1"/>
    <w:rsid w:val="00B42623"/>
    <w:rsid w:val="00B42C27"/>
    <w:rsid w:val="00B4471B"/>
    <w:rsid w:val="00B4562D"/>
    <w:rsid w:val="00B46BDD"/>
    <w:rsid w:val="00B509F0"/>
    <w:rsid w:val="00B51901"/>
    <w:rsid w:val="00B5245D"/>
    <w:rsid w:val="00B557E2"/>
    <w:rsid w:val="00B55F63"/>
    <w:rsid w:val="00B57100"/>
    <w:rsid w:val="00B57CC4"/>
    <w:rsid w:val="00B6194D"/>
    <w:rsid w:val="00B621C5"/>
    <w:rsid w:val="00B633D1"/>
    <w:rsid w:val="00B63519"/>
    <w:rsid w:val="00B665AB"/>
    <w:rsid w:val="00B66F84"/>
    <w:rsid w:val="00B67B03"/>
    <w:rsid w:val="00B67C3F"/>
    <w:rsid w:val="00B715A8"/>
    <w:rsid w:val="00B72BC0"/>
    <w:rsid w:val="00B75FD0"/>
    <w:rsid w:val="00B7696A"/>
    <w:rsid w:val="00B77411"/>
    <w:rsid w:val="00B802F6"/>
    <w:rsid w:val="00B813AA"/>
    <w:rsid w:val="00B81ABC"/>
    <w:rsid w:val="00B83E20"/>
    <w:rsid w:val="00B841F5"/>
    <w:rsid w:val="00B84806"/>
    <w:rsid w:val="00B8501D"/>
    <w:rsid w:val="00B867D8"/>
    <w:rsid w:val="00B86B1D"/>
    <w:rsid w:val="00B86CC2"/>
    <w:rsid w:val="00B87540"/>
    <w:rsid w:val="00B90E41"/>
    <w:rsid w:val="00B913FD"/>
    <w:rsid w:val="00B92A14"/>
    <w:rsid w:val="00B92C70"/>
    <w:rsid w:val="00B94199"/>
    <w:rsid w:val="00B9589A"/>
    <w:rsid w:val="00B95971"/>
    <w:rsid w:val="00BA09AD"/>
    <w:rsid w:val="00BA2E86"/>
    <w:rsid w:val="00BA46D8"/>
    <w:rsid w:val="00BA4D23"/>
    <w:rsid w:val="00BA5128"/>
    <w:rsid w:val="00BA7EE0"/>
    <w:rsid w:val="00BB0114"/>
    <w:rsid w:val="00BB0E8E"/>
    <w:rsid w:val="00BB1F96"/>
    <w:rsid w:val="00BB22B5"/>
    <w:rsid w:val="00BB310C"/>
    <w:rsid w:val="00BB31E3"/>
    <w:rsid w:val="00BB3B65"/>
    <w:rsid w:val="00BB49A2"/>
    <w:rsid w:val="00BB510F"/>
    <w:rsid w:val="00BB7B98"/>
    <w:rsid w:val="00BC24A8"/>
    <w:rsid w:val="00BC2D1B"/>
    <w:rsid w:val="00BC380A"/>
    <w:rsid w:val="00BC3BB6"/>
    <w:rsid w:val="00BC4129"/>
    <w:rsid w:val="00BD2230"/>
    <w:rsid w:val="00BD2585"/>
    <w:rsid w:val="00BD362D"/>
    <w:rsid w:val="00BD3C6A"/>
    <w:rsid w:val="00BD7129"/>
    <w:rsid w:val="00BE4209"/>
    <w:rsid w:val="00BE4BB5"/>
    <w:rsid w:val="00BE7EB3"/>
    <w:rsid w:val="00BF38DD"/>
    <w:rsid w:val="00BF3A03"/>
    <w:rsid w:val="00BF5B90"/>
    <w:rsid w:val="00BF64B0"/>
    <w:rsid w:val="00C00D0A"/>
    <w:rsid w:val="00C014AB"/>
    <w:rsid w:val="00C0154A"/>
    <w:rsid w:val="00C01A1B"/>
    <w:rsid w:val="00C01C25"/>
    <w:rsid w:val="00C03727"/>
    <w:rsid w:val="00C05743"/>
    <w:rsid w:val="00C061A7"/>
    <w:rsid w:val="00C074A5"/>
    <w:rsid w:val="00C07F43"/>
    <w:rsid w:val="00C112F2"/>
    <w:rsid w:val="00C11652"/>
    <w:rsid w:val="00C11890"/>
    <w:rsid w:val="00C11A1E"/>
    <w:rsid w:val="00C12AFD"/>
    <w:rsid w:val="00C1375A"/>
    <w:rsid w:val="00C14300"/>
    <w:rsid w:val="00C14B7C"/>
    <w:rsid w:val="00C14C5E"/>
    <w:rsid w:val="00C14D6A"/>
    <w:rsid w:val="00C154FE"/>
    <w:rsid w:val="00C16400"/>
    <w:rsid w:val="00C16463"/>
    <w:rsid w:val="00C16AC7"/>
    <w:rsid w:val="00C21571"/>
    <w:rsid w:val="00C22348"/>
    <w:rsid w:val="00C234F7"/>
    <w:rsid w:val="00C24505"/>
    <w:rsid w:val="00C25D8E"/>
    <w:rsid w:val="00C26A1D"/>
    <w:rsid w:val="00C26D7D"/>
    <w:rsid w:val="00C275AC"/>
    <w:rsid w:val="00C311F3"/>
    <w:rsid w:val="00C32515"/>
    <w:rsid w:val="00C32D94"/>
    <w:rsid w:val="00C33AA0"/>
    <w:rsid w:val="00C364DD"/>
    <w:rsid w:val="00C36BCF"/>
    <w:rsid w:val="00C370B4"/>
    <w:rsid w:val="00C3765D"/>
    <w:rsid w:val="00C37E43"/>
    <w:rsid w:val="00C40CB4"/>
    <w:rsid w:val="00C41BA2"/>
    <w:rsid w:val="00C43990"/>
    <w:rsid w:val="00C446CC"/>
    <w:rsid w:val="00C44A71"/>
    <w:rsid w:val="00C4538D"/>
    <w:rsid w:val="00C45BAF"/>
    <w:rsid w:val="00C4601A"/>
    <w:rsid w:val="00C47D7B"/>
    <w:rsid w:val="00C50D4C"/>
    <w:rsid w:val="00C50D77"/>
    <w:rsid w:val="00C53A79"/>
    <w:rsid w:val="00C547E4"/>
    <w:rsid w:val="00C557EF"/>
    <w:rsid w:val="00C55FA2"/>
    <w:rsid w:val="00C5784B"/>
    <w:rsid w:val="00C632F7"/>
    <w:rsid w:val="00C6464C"/>
    <w:rsid w:val="00C655CA"/>
    <w:rsid w:val="00C67375"/>
    <w:rsid w:val="00C67A5C"/>
    <w:rsid w:val="00C706C2"/>
    <w:rsid w:val="00C71401"/>
    <w:rsid w:val="00C71695"/>
    <w:rsid w:val="00C722EF"/>
    <w:rsid w:val="00C72498"/>
    <w:rsid w:val="00C731AF"/>
    <w:rsid w:val="00C735A8"/>
    <w:rsid w:val="00C7391F"/>
    <w:rsid w:val="00C7426E"/>
    <w:rsid w:val="00C75787"/>
    <w:rsid w:val="00C768A8"/>
    <w:rsid w:val="00C76D66"/>
    <w:rsid w:val="00C80AF1"/>
    <w:rsid w:val="00C87CF6"/>
    <w:rsid w:val="00C87FBA"/>
    <w:rsid w:val="00C912A6"/>
    <w:rsid w:val="00C9320E"/>
    <w:rsid w:val="00C9445C"/>
    <w:rsid w:val="00C967E9"/>
    <w:rsid w:val="00C97611"/>
    <w:rsid w:val="00C97767"/>
    <w:rsid w:val="00CA62AE"/>
    <w:rsid w:val="00CA6FA4"/>
    <w:rsid w:val="00CB0860"/>
    <w:rsid w:val="00CB23D1"/>
    <w:rsid w:val="00CB2414"/>
    <w:rsid w:val="00CC012F"/>
    <w:rsid w:val="00CC1736"/>
    <w:rsid w:val="00CC22AD"/>
    <w:rsid w:val="00CC22B3"/>
    <w:rsid w:val="00CC2EE6"/>
    <w:rsid w:val="00CC3D05"/>
    <w:rsid w:val="00CC4B83"/>
    <w:rsid w:val="00CC5E58"/>
    <w:rsid w:val="00CD11EA"/>
    <w:rsid w:val="00CD1907"/>
    <w:rsid w:val="00CD28E2"/>
    <w:rsid w:val="00CD2984"/>
    <w:rsid w:val="00CD2D5A"/>
    <w:rsid w:val="00CD4C5D"/>
    <w:rsid w:val="00CD4E36"/>
    <w:rsid w:val="00CE06B3"/>
    <w:rsid w:val="00CE1541"/>
    <w:rsid w:val="00CE210C"/>
    <w:rsid w:val="00CE28E2"/>
    <w:rsid w:val="00CE2EBF"/>
    <w:rsid w:val="00CE3B5C"/>
    <w:rsid w:val="00CE3C4F"/>
    <w:rsid w:val="00CE58DE"/>
    <w:rsid w:val="00CE59C4"/>
    <w:rsid w:val="00CE6088"/>
    <w:rsid w:val="00CE6C01"/>
    <w:rsid w:val="00CE7714"/>
    <w:rsid w:val="00CE779C"/>
    <w:rsid w:val="00CE7958"/>
    <w:rsid w:val="00CF0440"/>
    <w:rsid w:val="00CF0C43"/>
    <w:rsid w:val="00CF10B8"/>
    <w:rsid w:val="00CF2989"/>
    <w:rsid w:val="00CF40A7"/>
    <w:rsid w:val="00CF40AD"/>
    <w:rsid w:val="00CF46B9"/>
    <w:rsid w:val="00CF5416"/>
    <w:rsid w:val="00CF692C"/>
    <w:rsid w:val="00CF7D6D"/>
    <w:rsid w:val="00D00048"/>
    <w:rsid w:val="00D00DAC"/>
    <w:rsid w:val="00D01D8C"/>
    <w:rsid w:val="00D03178"/>
    <w:rsid w:val="00D04214"/>
    <w:rsid w:val="00D061A0"/>
    <w:rsid w:val="00D06AFB"/>
    <w:rsid w:val="00D06E5A"/>
    <w:rsid w:val="00D07080"/>
    <w:rsid w:val="00D07548"/>
    <w:rsid w:val="00D07C36"/>
    <w:rsid w:val="00D07D9D"/>
    <w:rsid w:val="00D102C6"/>
    <w:rsid w:val="00D10B97"/>
    <w:rsid w:val="00D10D93"/>
    <w:rsid w:val="00D12186"/>
    <w:rsid w:val="00D142A2"/>
    <w:rsid w:val="00D14488"/>
    <w:rsid w:val="00D147C4"/>
    <w:rsid w:val="00D14D48"/>
    <w:rsid w:val="00D159CF"/>
    <w:rsid w:val="00D17CFC"/>
    <w:rsid w:val="00D2140E"/>
    <w:rsid w:val="00D22BBE"/>
    <w:rsid w:val="00D22C55"/>
    <w:rsid w:val="00D25327"/>
    <w:rsid w:val="00D25907"/>
    <w:rsid w:val="00D267E1"/>
    <w:rsid w:val="00D2768E"/>
    <w:rsid w:val="00D279DA"/>
    <w:rsid w:val="00D3026B"/>
    <w:rsid w:val="00D33036"/>
    <w:rsid w:val="00D33226"/>
    <w:rsid w:val="00D354E1"/>
    <w:rsid w:val="00D40A22"/>
    <w:rsid w:val="00D40A27"/>
    <w:rsid w:val="00D40D27"/>
    <w:rsid w:val="00D40D57"/>
    <w:rsid w:val="00D40E6E"/>
    <w:rsid w:val="00D41133"/>
    <w:rsid w:val="00D444F1"/>
    <w:rsid w:val="00D452F2"/>
    <w:rsid w:val="00D45B19"/>
    <w:rsid w:val="00D45C98"/>
    <w:rsid w:val="00D46BDF"/>
    <w:rsid w:val="00D46FC6"/>
    <w:rsid w:val="00D50308"/>
    <w:rsid w:val="00D51399"/>
    <w:rsid w:val="00D517DE"/>
    <w:rsid w:val="00D52DA3"/>
    <w:rsid w:val="00D53A4E"/>
    <w:rsid w:val="00D54DD6"/>
    <w:rsid w:val="00D55529"/>
    <w:rsid w:val="00D55E86"/>
    <w:rsid w:val="00D578E0"/>
    <w:rsid w:val="00D60A0B"/>
    <w:rsid w:val="00D61481"/>
    <w:rsid w:val="00D61EEC"/>
    <w:rsid w:val="00D639EC"/>
    <w:rsid w:val="00D63CE6"/>
    <w:rsid w:val="00D64A4F"/>
    <w:rsid w:val="00D65318"/>
    <w:rsid w:val="00D673AF"/>
    <w:rsid w:val="00D700BC"/>
    <w:rsid w:val="00D71C57"/>
    <w:rsid w:val="00D72049"/>
    <w:rsid w:val="00D73B4A"/>
    <w:rsid w:val="00D740CE"/>
    <w:rsid w:val="00D75282"/>
    <w:rsid w:val="00D75B20"/>
    <w:rsid w:val="00D76175"/>
    <w:rsid w:val="00D77359"/>
    <w:rsid w:val="00D77821"/>
    <w:rsid w:val="00D83EB9"/>
    <w:rsid w:val="00D84A06"/>
    <w:rsid w:val="00D84D0E"/>
    <w:rsid w:val="00D85639"/>
    <w:rsid w:val="00D90445"/>
    <w:rsid w:val="00D90B03"/>
    <w:rsid w:val="00D9133F"/>
    <w:rsid w:val="00D91B4E"/>
    <w:rsid w:val="00D92C55"/>
    <w:rsid w:val="00D93C9B"/>
    <w:rsid w:val="00D9486A"/>
    <w:rsid w:val="00D95394"/>
    <w:rsid w:val="00D95C56"/>
    <w:rsid w:val="00D97EE1"/>
    <w:rsid w:val="00DA0DDF"/>
    <w:rsid w:val="00DA53DD"/>
    <w:rsid w:val="00DA54DE"/>
    <w:rsid w:val="00DA5973"/>
    <w:rsid w:val="00DA5ED7"/>
    <w:rsid w:val="00DA72C7"/>
    <w:rsid w:val="00DA79A7"/>
    <w:rsid w:val="00DA7D81"/>
    <w:rsid w:val="00DA7F61"/>
    <w:rsid w:val="00DA7FBE"/>
    <w:rsid w:val="00DB1869"/>
    <w:rsid w:val="00DB1B0C"/>
    <w:rsid w:val="00DB3F22"/>
    <w:rsid w:val="00DB5685"/>
    <w:rsid w:val="00DB6453"/>
    <w:rsid w:val="00DB77B5"/>
    <w:rsid w:val="00DC0675"/>
    <w:rsid w:val="00DC06EA"/>
    <w:rsid w:val="00DC1801"/>
    <w:rsid w:val="00DC2637"/>
    <w:rsid w:val="00DC2865"/>
    <w:rsid w:val="00DC423D"/>
    <w:rsid w:val="00DC42CC"/>
    <w:rsid w:val="00DC5E9E"/>
    <w:rsid w:val="00DC64E7"/>
    <w:rsid w:val="00DC67EA"/>
    <w:rsid w:val="00DC7622"/>
    <w:rsid w:val="00DC7EEA"/>
    <w:rsid w:val="00DD1AA2"/>
    <w:rsid w:val="00DD1B26"/>
    <w:rsid w:val="00DD2E5F"/>
    <w:rsid w:val="00DD3D93"/>
    <w:rsid w:val="00DD3ED7"/>
    <w:rsid w:val="00DD464C"/>
    <w:rsid w:val="00DD5BC5"/>
    <w:rsid w:val="00DD6A96"/>
    <w:rsid w:val="00DD7391"/>
    <w:rsid w:val="00DE136A"/>
    <w:rsid w:val="00DE1B8E"/>
    <w:rsid w:val="00DE2224"/>
    <w:rsid w:val="00DE3130"/>
    <w:rsid w:val="00DE5A76"/>
    <w:rsid w:val="00DE6239"/>
    <w:rsid w:val="00DF21B0"/>
    <w:rsid w:val="00DF4DA3"/>
    <w:rsid w:val="00DF596D"/>
    <w:rsid w:val="00DF59DB"/>
    <w:rsid w:val="00E00F85"/>
    <w:rsid w:val="00E033EA"/>
    <w:rsid w:val="00E0363E"/>
    <w:rsid w:val="00E044D7"/>
    <w:rsid w:val="00E04EA9"/>
    <w:rsid w:val="00E06F1A"/>
    <w:rsid w:val="00E107A9"/>
    <w:rsid w:val="00E115CC"/>
    <w:rsid w:val="00E11F0C"/>
    <w:rsid w:val="00E121F4"/>
    <w:rsid w:val="00E13CEA"/>
    <w:rsid w:val="00E1435E"/>
    <w:rsid w:val="00E14F81"/>
    <w:rsid w:val="00E15AF2"/>
    <w:rsid w:val="00E20295"/>
    <w:rsid w:val="00E219C5"/>
    <w:rsid w:val="00E2205E"/>
    <w:rsid w:val="00E23DA6"/>
    <w:rsid w:val="00E240DA"/>
    <w:rsid w:val="00E24FD2"/>
    <w:rsid w:val="00E2515E"/>
    <w:rsid w:val="00E2629D"/>
    <w:rsid w:val="00E26906"/>
    <w:rsid w:val="00E2755D"/>
    <w:rsid w:val="00E27CC7"/>
    <w:rsid w:val="00E27E70"/>
    <w:rsid w:val="00E3090D"/>
    <w:rsid w:val="00E30EBE"/>
    <w:rsid w:val="00E3125C"/>
    <w:rsid w:val="00E331CA"/>
    <w:rsid w:val="00E3398E"/>
    <w:rsid w:val="00E33FA1"/>
    <w:rsid w:val="00E37554"/>
    <w:rsid w:val="00E402EB"/>
    <w:rsid w:val="00E4048C"/>
    <w:rsid w:val="00E40AAD"/>
    <w:rsid w:val="00E40AC5"/>
    <w:rsid w:val="00E410BF"/>
    <w:rsid w:val="00E41851"/>
    <w:rsid w:val="00E42FF3"/>
    <w:rsid w:val="00E439E8"/>
    <w:rsid w:val="00E453E3"/>
    <w:rsid w:val="00E458F3"/>
    <w:rsid w:val="00E470DD"/>
    <w:rsid w:val="00E5292E"/>
    <w:rsid w:val="00E52CEA"/>
    <w:rsid w:val="00E52D1A"/>
    <w:rsid w:val="00E52EDA"/>
    <w:rsid w:val="00E5332D"/>
    <w:rsid w:val="00E536BF"/>
    <w:rsid w:val="00E540D3"/>
    <w:rsid w:val="00E55EEF"/>
    <w:rsid w:val="00E56601"/>
    <w:rsid w:val="00E60516"/>
    <w:rsid w:val="00E6074E"/>
    <w:rsid w:val="00E60A1D"/>
    <w:rsid w:val="00E61101"/>
    <w:rsid w:val="00E6129F"/>
    <w:rsid w:val="00E61CB6"/>
    <w:rsid w:val="00E61E82"/>
    <w:rsid w:val="00E62695"/>
    <w:rsid w:val="00E64586"/>
    <w:rsid w:val="00E65CC3"/>
    <w:rsid w:val="00E676E9"/>
    <w:rsid w:val="00E70D4E"/>
    <w:rsid w:val="00E71FF7"/>
    <w:rsid w:val="00E72978"/>
    <w:rsid w:val="00E72A22"/>
    <w:rsid w:val="00E73D4B"/>
    <w:rsid w:val="00E74B4F"/>
    <w:rsid w:val="00E756C3"/>
    <w:rsid w:val="00E75CE2"/>
    <w:rsid w:val="00E76081"/>
    <w:rsid w:val="00E80706"/>
    <w:rsid w:val="00E81E69"/>
    <w:rsid w:val="00E825EE"/>
    <w:rsid w:val="00E82824"/>
    <w:rsid w:val="00E90812"/>
    <w:rsid w:val="00E90DEE"/>
    <w:rsid w:val="00E90E81"/>
    <w:rsid w:val="00E913CA"/>
    <w:rsid w:val="00E92D24"/>
    <w:rsid w:val="00E94B45"/>
    <w:rsid w:val="00E950D9"/>
    <w:rsid w:val="00E9532A"/>
    <w:rsid w:val="00E95717"/>
    <w:rsid w:val="00E95B42"/>
    <w:rsid w:val="00E96969"/>
    <w:rsid w:val="00E96EDF"/>
    <w:rsid w:val="00EA09F4"/>
    <w:rsid w:val="00EA239A"/>
    <w:rsid w:val="00EA4FDD"/>
    <w:rsid w:val="00EA6576"/>
    <w:rsid w:val="00EA67DB"/>
    <w:rsid w:val="00EA6811"/>
    <w:rsid w:val="00EA6878"/>
    <w:rsid w:val="00EA6AF6"/>
    <w:rsid w:val="00EA7B40"/>
    <w:rsid w:val="00EB05B9"/>
    <w:rsid w:val="00EB1F8A"/>
    <w:rsid w:val="00EB20BD"/>
    <w:rsid w:val="00EB2626"/>
    <w:rsid w:val="00EB38B9"/>
    <w:rsid w:val="00EB4923"/>
    <w:rsid w:val="00EB4A5C"/>
    <w:rsid w:val="00EB4B73"/>
    <w:rsid w:val="00EB5115"/>
    <w:rsid w:val="00EB532B"/>
    <w:rsid w:val="00EB5355"/>
    <w:rsid w:val="00EC0DA6"/>
    <w:rsid w:val="00EC1BD6"/>
    <w:rsid w:val="00EC1E04"/>
    <w:rsid w:val="00EC320B"/>
    <w:rsid w:val="00EC388F"/>
    <w:rsid w:val="00EC41C0"/>
    <w:rsid w:val="00EC4597"/>
    <w:rsid w:val="00EC7761"/>
    <w:rsid w:val="00EC77CC"/>
    <w:rsid w:val="00EC7EE0"/>
    <w:rsid w:val="00ED0189"/>
    <w:rsid w:val="00ED0A49"/>
    <w:rsid w:val="00ED10EF"/>
    <w:rsid w:val="00ED42E9"/>
    <w:rsid w:val="00ED5743"/>
    <w:rsid w:val="00ED6207"/>
    <w:rsid w:val="00EE05AE"/>
    <w:rsid w:val="00EE0D76"/>
    <w:rsid w:val="00EE466E"/>
    <w:rsid w:val="00EE70AD"/>
    <w:rsid w:val="00EE74C6"/>
    <w:rsid w:val="00EE7C41"/>
    <w:rsid w:val="00EF0AF7"/>
    <w:rsid w:val="00EF2994"/>
    <w:rsid w:val="00EF421E"/>
    <w:rsid w:val="00EF46C7"/>
    <w:rsid w:val="00EF4E19"/>
    <w:rsid w:val="00EF567F"/>
    <w:rsid w:val="00EF6389"/>
    <w:rsid w:val="00EF6E8F"/>
    <w:rsid w:val="00EF6EC2"/>
    <w:rsid w:val="00EF738E"/>
    <w:rsid w:val="00F00518"/>
    <w:rsid w:val="00F00C53"/>
    <w:rsid w:val="00F0134B"/>
    <w:rsid w:val="00F03E03"/>
    <w:rsid w:val="00F03FD3"/>
    <w:rsid w:val="00F0487D"/>
    <w:rsid w:val="00F0501D"/>
    <w:rsid w:val="00F0569F"/>
    <w:rsid w:val="00F101D4"/>
    <w:rsid w:val="00F109E0"/>
    <w:rsid w:val="00F1105D"/>
    <w:rsid w:val="00F11EA8"/>
    <w:rsid w:val="00F12DB0"/>
    <w:rsid w:val="00F13D3B"/>
    <w:rsid w:val="00F15C0B"/>
    <w:rsid w:val="00F1707A"/>
    <w:rsid w:val="00F217ED"/>
    <w:rsid w:val="00F224DE"/>
    <w:rsid w:val="00F2388F"/>
    <w:rsid w:val="00F26A81"/>
    <w:rsid w:val="00F26B93"/>
    <w:rsid w:val="00F273C9"/>
    <w:rsid w:val="00F311B5"/>
    <w:rsid w:val="00F32D53"/>
    <w:rsid w:val="00F335B6"/>
    <w:rsid w:val="00F348B9"/>
    <w:rsid w:val="00F34F61"/>
    <w:rsid w:val="00F357D6"/>
    <w:rsid w:val="00F37614"/>
    <w:rsid w:val="00F379E8"/>
    <w:rsid w:val="00F401CD"/>
    <w:rsid w:val="00F40B5C"/>
    <w:rsid w:val="00F42196"/>
    <w:rsid w:val="00F44BF7"/>
    <w:rsid w:val="00F44E90"/>
    <w:rsid w:val="00F46B20"/>
    <w:rsid w:val="00F47D97"/>
    <w:rsid w:val="00F50237"/>
    <w:rsid w:val="00F5096D"/>
    <w:rsid w:val="00F54379"/>
    <w:rsid w:val="00F5526D"/>
    <w:rsid w:val="00F55776"/>
    <w:rsid w:val="00F56078"/>
    <w:rsid w:val="00F568D8"/>
    <w:rsid w:val="00F56D12"/>
    <w:rsid w:val="00F6050D"/>
    <w:rsid w:val="00F675DF"/>
    <w:rsid w:val="00F70536"/>
    <w:rsid w:val="00F7098F"/>
    <w:rsid w:val="00F71B64"/>
    <w:rsid w:val="00F72387"/>
    <w:rsid w:val="00F7275B"/>
    <w:rsid w:val="00F73ED0"/>
    <w:rsid w:val="00F7570B"/>
    <w:rsid w:val="00F76AC7"/>
    <w:rsid w:val="00F8049A"/>
    <w:rsid w:val="00F812D9"/>
    <w:rsid w:val="00F814D0"/>
    <w:rsid w:val="00F81D82"/>
    <w:rsid w:val="00F839F8"/>
    <w:rsid w:val="00F8403B"/>
    <w:rsid w:val="00F865A4"/>
    <w:rsid w:val="00F86685"/>
    <w:rsid w:val="00F86A72"/>
    <w:rsid w:val="00F90EC0"/>
    <w:rsid w:val="00F92A14"/>
    <w:rsid w:val="00F94CC1"/>
    <w:rsid w:val="00F9500E"/>
    <w:rsid w:val="00F9547F"/>
    <w:rsid w:val="00F9629E"/>
    <w:rsid w:val="00F96CA3"/>
    <w:rsid w:val="00F97D8A"/>
    <w:rsid w:val="00FA010F"/>
    <w:rsid w:val="00FA0F4A"/>
    <w:rsid w:val="00FA2CA4"/>
    <w:rsid w:val="00FA39BC"/>
    <w:rsid w:val="00FB0624"/>
    <w:rsid w:val="00FB110D"/>
    <w:rsid w:val="00FB1C33"/>
    <w:rsid w:val="00FB3EEC"/>
    <w:rsid w:val="00FB4419"/>
    <w:rsid w:val="00FB4470"/>
    <w:rsid w:val="00FB52CD"/>
    <w:rsid w:val="00FB5EC9"/>
    <w:rsid w:val="00FB70A5"/>
    <w:rsid w:val="00FC0254"/>
    <w:rsid w:val="00FC1407"/>
    <w:rsid w:val="00FC18C6"/>
    <w:rsid w:val="00FC20A6"/>
    <w:rsid w:val="00FC28C6"/>
    <w:rsid w:val="00FC29DE"/>
    <w:rsid w:val="00FC363F"/>
    <w:rsid w:val="00FD0D20"/>
    <w:rsid w:val="00FD2948"/>
    <w:rsid w:val="00FD2D33"/>
    <w:rsid w:val="00FD2D6D"/>
    <w:rsid w:val="00FD3902"/>
    <w:rsid w:val="00FD4790"/>
    <w:rsid w:val="00FD4990"/>
    <w:rsid w:val="00FD4E6E"/>
    <w:rsid w:val="00FD4EAB"/>
    <w:rsid w:val="00FD51FE"/>
    <w:rsid w:val="00FD58F5"/>
    <w:rsid w:val="00FD701C"/>
    <w:rsid w:val="00FE028A"/>
    <w:rsid w:val="00FE0AD6"/>
    <w:rsid w:val="00FE1245"/>
    <w:rsid w:val="00FE1EC0"/>
    <w:rsid w:val="00FE33A0"/>
    <w:rsid w:val="00FE45A9"/>
    <w:rsid w:val="00FE4B9D"/>
    <w:rsid w:val="00FE658F"/>
    <w:rsid w:val="00FE768E"/>
    <w:rsid w:val="00FF2A8E"/>
    <w:rsid w:val="00FF3321"/>
    <w:rsid w:val="00FF3506"/>
    <w:rsid w:val="00FF68F0"/>
    <w:rsid w:val="00FF6FC2"/>
    <w:rsid w:val="00FF7ABB"/>
    <w:rsid w:val="02F46717"/>
    <w:rsid w:val="03034330"/>
    <w:rsid w:val="03D31185"/>
    <w:rsid w:val="046D41A7"/>
    <w:rsid w:val="05744C0A"/>
    <w:rsid w:val="09E91774"/>
    <w:rsid w:val="10770892"/>
    <w:rsid w:val="10AA09E6"/>
    <w:rsid w:val="11563BAF"/>
    <w:rsid w:val="12D44625"/>
    <w:rsid w:val="133C7B85"/>
    <w:rsid w:val="14642C4A"/>
    <w:rsid w:val="14710213"/>
    <w:rsid w:val="16C94DF9"/>
    <w:rsid w:val="172A4DE7"/>
    <w:rsid w:val="18614417"/>
    <w:rsid w:val="1C415742"/>
    <w:rsid w:val="1DA20BAF"/>
    <w:rsid w:val="1DE81FB3"/>
    <w:rsid w:val="1E505F2F"/>
    <w:rsid w:val="1EBF584C"/>
    <w:rsid w:val="211F69D7"/>
    <w:rsid w:val="2341532C"/>
    <w:rsid w:val="26AE0AA3"/>
    <w:rsid w:val="274A5AE7"/>
    <w:rsid w:val="282D6DBA"/>
    <w:rsid w:val="28445CF6"/>
    <w:rsid w:val="291678C1"/>
    <w:rsid w:val="2C376EDB"/>
    <w:rsid w:val="2E20539E"/>
    <w:rsid w:val="32C71AC8"/>
    <w:rsid w:val="32C91D28"/>
    <w:rsid w:val="33A9377C"/>
    <w:rsid w:val="3582732C"/>
    <w:rsid w:val="36E937F9"/>
    <w:rsid w:val="419453CF"/>
    <w:rsid w:val="428027CD"/>
    <w:rsid w:val="46C1736B"/>
    <w:rsid w:val="48457423"/>
    <w:rsid w:val="487F78F9"/>
    <w:rsid w:val="4D41582A"/>
    <w:rsid w:val="4D885BB3"/>
    <w:rsid w:val="4DB61B11"/>
    <w:rsid w:val="5017122F"/>
    <w:rsid w:val="50E6708B"/>
    <w:rsid w:val="52093E24"/>
    <w:rsid w:val="56A82542"/>
    <w:rsid w:val="57823086"/>
    <w:rsid w:val="59315F1E"/>
    <w:rsid w:val="5B3C46AA"/>
    <w:rsid w:val="5E311FC9"/>
    <w:rsid w:val="65A12CF4"/>
    <w:rsid w:val="665B37D3"/>
    <w:rsid w:val="68852131"/>
    <w:rsid w:val="6DA02882"/>
    <w:rsid w:val="70B90F34"/>
    <w:rsid w:val="713B0BC8"/>
    <w:rsid w:val="73A325F1"/>
    <w:rsid w:val="75AD6CA6"/>
    <w:rsid w:val="7A7B12C8"/>
    <w:rsid w:val="7A836C3D"/>
    <w:rsid w:val="7C5F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qFormat="1" w:uiPriority="99"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lang w:val="en-US" w:eastAsia="zh-CN" w:bidi="ar-SA"/>
    </w:rPr>
  </w:style>
  <w:style w:type="paragraph" w:styleId="3">
    <w:name w:val="heading 1"/>
    <w:basedOn w:val="1"/>
    <w:next w:val="1"/>
    <w:link w:val="68"/>
    <w:qFormat/>
    <w:uiPriority w:val="0"/>
    <w:pPr>
      <w:keepNext/>
      <w:keepLines/>
      <w:spacing w:before="340" w:after="330" w:line="576" w:lineRule="auto"/>
      <w:outlineLvl w:val="0"/>
    </w:pPr>
    <w:rPr>
      <w:rFonts w:eastAsia="楷体_GB2312"/>
      <w:b/>
      <w:kern w:val="44"/>
      <w:sz w:val="44"/>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0"/>
    <w:qFormat/>
    <w:uiPriority w:val="0"/>
    <w:pPr>
      <w:keepNext/>
      <w:keepLines/>
      <w:widowControl w:val="0"/>
      <w:spacing w:before="260" w:after="260" w:line="415" w:lineRule="auto"/>
      <w:jc w:val="both"/>
      <w:outlineLvl w:val="2"/>
    </w:pPr>
    <w:rPr>
      <w:b/>
      <w:kern w:val="2"/>
      <w:sz w:val="32"/>
    </w:rPr>
  </w:style>
  <w:style w:type="paragraph" w:styleId="6">
    <w:name w:val="heading 4"/>
    <w:basedOn w:val="1"/>
    <w:next w:val="1"/>
    <w:link w:val="71"/>
    <w:qFormat/>
    <w:uiPriority w:val="0"/>
    <w:pPr>
      <w:keepNext/>
      <w:keepLines/>
      <w:widowControl w:val="0"/>
      <w:spacing w:before="280" w:after="290" w:line="376" w:lineRule="auto"/>
      <w:jc w:val="both"/>
      <w:outlineLvl w:val="3"/>
    </w:pPr>
    <w:rPr>
      <w:rFonts w:ascii="Cambria" w:hAnsi="Cambria"/>
      <w:b/>
      <w:bCs/>
      <w:kern w:val="2"/>
      <w:sz w:val="28"/>
      <w:szCs w:val="28"/>
    </w:rPr>
  </w:style>
  <w:style w:type="paragraph" w:styleId="7">
    <w:name w:val="heading 5"/>
    <w:basedOn w:val="1"/>
    <w:next w:val="1"/>
    <w:link w:val="72"/>
    <w:qFormat/>
    <w:uiPriority w:val="0"/>
    <w:pPr>
      <w:keepNext/>
      <w:keepLines/>
      <w:spacing w:before="280" w:after="290" w:line="376" w:lineRule="auto"/>
      <w:outlineLvl w:val="4"/>
    </w:pPr>
    <w:rPr>
      <w:b/>
      <w:bCs/>
      <w:sz w:val="28"/>
      <w:szCs w:val="28"/>
    </w:rPr>
  </w:style>
  <w:style w:type="paragraph" w:styleId="8">
    <w:name w:val="heading 6"/>
    <w:basedOn w:val="1"/>
    <w:next w:val="9"/>
    <w:link w:val="73"/>
    <w:qFormat/>
    <w:uiPriority w:val="0"/>
    <w:pPr>
      <w:keepNext/>
      <w:keepLines/>
      <w:widowControl w:val="0"/>
      <w:tabs>
        <w:tab w:val="left" w:pos="1152"/>
      </w:tabs>
      <w:spacing w:before="240" w:after="64" w:line="320" w:lineRule="auto"/>
      <w:ind w:left="1152" w:hanging="1152"/>
      <w:jc w:val="both"/>
      <w:outlineLvl w:val="5"/>
    </w:pPr>
    <w:rPr>
      <w:rFonts w:ascii="Arial" w:hAnsi="Arial" w:eastAsia="黑体"/>
      <w:b/>
      <w:kern w:val="2"/>
    </w:rPr>
  </w:style>
  <w:style w:type="paragraph" w:styleId="10">
    <w:name w:val="heading 7"/>
    <w:basedOn w:val="1"/>
    <w:next w:val="9"/>
    <w:link w:val="75"/>
    <w:qFormat/>
    <w:uiPriority w:val="0"/>
    <w:pPr>
      <w:keepNext/>
      <w:keepLines/>
      <w:widowControl w:val="0"/>
      <w:tabs>
        <w:tab w:val="left" w:pos="1296"/>
      </w:tabs>
      <w:spacing w:before="240" w:after="64" w:line="320" w:lineRule="auto"/>
      <w:ind w:left="1296" w:hanging="1296"/>
      <w:jc w:val="both"/>
      <w:outlineLvl w:val="6"/>
    </w:pPr>
    <w:rPr>
      <w:b/>
      <w:kern w:val="2"/>
    </w:rPr>
  </w:style>
  <w:style w:type="paragraph" w:styleId="11">
    <w:name w:val="heading 8"/>
    <w:basedOn w:val="1"/>
    <w:next w:val="9"/>
    <w:link w:val="76"/>
    <w:qFormat/>
    <w:uiPriority w:val="0"/>
    <w:pPr>
      <w:keepNext/>
      <w:keepLines/>
      <w:widowControl w:val="0"/>
      <w:tabs>
        <w:tab w:val="left" w:pos="1440"/>
      </w:tabs>
      <w:spacing w:before="240" w:after="64" w:line="320" w:lineRule="auto"/>
      <w:ind w:left="1440" w:hanging="1440"/>
      <w:jc w:val="both"/>
      <w:outlineLvl w:val="7"/>
    </w:pPr>
    <w:rPr>
      <w:rFonts w:ascii="Arial" w:hAnsi="Arial" w:eastAsia="黑体"/>
      <w:kern w:val="2"/>
    </w:rPr>
  </w:style>
  <w:style w:type="paragraph" w:styleId="12">
    <w:name w:val="heading 9"/>
    <w:basedOn w:val="1"/>
    <w:next w:val="9"/>
    <w:link w:val="77"/>
    <w:qFormat/>
    <w:uiPriority w:val="0"/>
    <w:pPr>
      <w:keepNext/>
      <w:keepLines/>
      <w:widowControl w:val="0"/>
      <w:tabs>
        <w:tab w:val="left" w:pos="1584"/>
      </w:tabs>
      <w:spacing w:before="240" w:after="64" w:line="320" w:lineRule="auto"/>
      <w:ind w:left="1584" w:hanging="1584"/>
      <w:jc w:val="both"/>
      <w:outlineLvl w:val="8"/>
    </w:pPr>
    <w:rPr>
      <w:rFonts w:ascii="Arial" w:hAnsi="Arial" w:eastAsia="黑体"/>
      <w:kern w:val="2"/>
      <w:sz w:val="21"/>
    </w:rPr>
  </w:style>
  <w:style w:type="character" w:default="1" w:styleId="59">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9">
    <w:name w:val="Normal Indent"/>
    <w:basedOn w:val="1"/>
    <w:link w:val="74"/>
    <w:qFormat/>
    <w:uiPriority w:val="0"/>
    <w:pPr>
      <w:adjustRightInd w:val="0"/>
      <w:ind w:firstLine="420"/>
      <w:textAlignment w:val="baseline"/>
    </w:pPr>
    <w:rPr>
      <w:rFonts w:eastAsia="楷体_GB2312"/>
    </w:rPr>
  </w:style>
  <w:style w:type="paragraph" w:styleId="13">
    <w:name w:val="toc 7"/>
    <w:basedOn w:val="1"/>
    <w:next w:val="1"/>
    <w:qFormat/>
    <w:uiPriority w:val="0"/>
    <w:pPr>
      <w:widowControl w:val="0"/>
      <w:autoSpaceDE w:val="0"/>
      <w:autoSpaceDN w:val="0"/>
      <w:adjustRightInd w:val="0"/>
      <w:spacing w:line="360" w:lineRule="auto"/>
      <w:ind w:left="1200"/>
    </w:pPr>
    <w:rPr>
      <w:sz w:val="18"/>
      <w:szCs w:val="18"/>
    </w:rPr>
  </w:style>
  <w:style w:type="paragraph" w:styleId="14">
    <w:name w:val="caption"/>
    <w:basedOn w:val="1"/>
    <w:next w:val="1"/>
    <w:qFormat/>
    <w:uiPriority w:val="0"/>
    <w:pPr>
      <w:widowControl w:val="0"/>
      <w:jc w:val="both"/>
    </w:pPr>
    <w:rPr>
      <w:rFonts w:ascii="Cambria" w:hAnsi="Cambria" w:eastAsia="黑体" w:cs="宋体"/>
      <w:kern w:val="2"/>
      <w:sz w:val="20"/>
    </w:rPr>
  </w:style>
  <w:style w:type="paragraph" w:styleId="15">
    <w:name w:val="index 5"/>
    <w:basedOn w:val="1"/>
    <w:next w:val="1"/>
    <w:qFormat/>
    <w:uiPriority w:val="0"/>
    <w:pPr>
      <w:widowControl w:val="0"/>
      <w:autoSpaceDE w:val="0"/>
      <w:autoSpaceDN w:val="0"/>
      <w:adjustRightInd w:val="0"/>
      <w:spacing w:line="360" w:lineRule="auto"/>
      <w:ind w:left="1440"/>
      <w:jc w:val="both"/>
    </w:pPr>
    <w:rPr>
      <w:rFonts w:ascii="宋体"/>
      <w:sz w:val="20"/>
      <w:szCs w:val="24"/>
    </w:rPr>
  </w:style>
  <w:style w:type="paragraph" w:styleId="16">
    <w:name w:val="Document Map"/>
    <w:basedOn w:val="1"/>
    <w:link w:val="78"/>
    <w:qFormat/>
    <w:uiPriority w:val="0"/>
    <w:pPr>
      <w:shd w:val="clear" w:color="auto" w:fill="000080"/>
    </w:pPr>
  </w:style>
  <w:style w:type="paragraph" w:styleId="17">
    <w:name w:val="toa heading"/>
    <w:basedOn w:val="1"/>
    <w:next w:val="1"/>
    <w:qFormat/>
    <w:uiPriority w:val="0"/>
    <w:pPr>
      <w:widowControl w:val="0"/>
      <w:autoSpaceDE w:val="0"/>
      <w:autoSpaceDN w:val="0"/>
      <w:adjustRightInd w:val="0"/>
      <w:spacing w:before="120" w:line="360" w:lineRule="auto"/>
      <w:jc w:val="both"/>
    </w:pPr>
    <w:rPr>
      <w:rFonts w:ascii="Arial" w:hAnsi="Arial" w:cs="Arial"/>
      <w:szCs w:val="24"/>
    </w:rPr>
  </w:style>
  <w:style w:type="paragraph" w:styleId="18">
    <w:name w:val="annotation text"/>
    <w:basedOn w:val="1"/>
    <w:link w:val="79"/>
    <w:qFormat/>
    <w:uiPriority w:val="0"/>
  </w:style>
  <w:style w:type="paragraph" w:styleId="19">
    <w:name w:val="index 6"/>
    <w:basedOn w:val="1"/>
    <w:next w:val="1"/>
    <w:qFormat/>
    <w:uiPriority w:val="0"/>
    <w:pPr>
      <w:widowControl w:val="0"/>
      <w:autoSpaceDE w:val="0"/>
      <w:autoSpaceDN w:val="0"/>
      <w:adjustRightInd w:val="0"/>
      <w:spacing w:line="360" w:lineRule="auto"/>
      <w:ind w:left="1800"/>
      <w:jc w:val="both"/>
    </w:pPr>
    <w:rPr>
      <w:rFonts w:ascii="宋体"/>
      <w:sz w:val="20"/>
      <w:szCs w:val="24"/>
    </w:rPr>
  </w:style>
  <w:style w:type="paragraph" w:styleId="20">
    <w:name w:val="Body Text 3"/>
    <w:basedOn w:val="1"/>
    <w:link w:val="80"/>
    <w:qFormat/>
    <w:uiPriority w:val="0"/>
    <w:pPr>
      <w:widowControl w:val="0"/>
      <w:spacing w:after="120"/>
      <w:jc w:val="both"/>
    </w:pPr>
    <w:rPr>
      <w:kern w:val="2"/>
      <w:sz w:val="16"/>
      <w:szCs w:val="16"/>
    </w:rPr>
  </w:style>
  <w:style w:type="paragraph" w:styleId="21">
    <w:name w:val="Body Text"/>
    <w:basedOn w:val="1"/>
    <w:link w:val="81"/>
    <w:qFormat/>
    <w:uiPriority w:val="0"/>
  </w:style>
  <w:style w:type="paragraph" w:styleId="22">
    <w:name w:val="Body Text Indent"/>
    <w:basedOn w:val="1"/>
    <w:link w:val="82"/>
    <w:qFormat/>
    <w:uiPriority w:val="0"/>
    <w:pPr>
      <w:spacing w:line="360" w:lineRule="auto"/>
      <w:ind w:firstLine="425"/>
    </w:pPr>
  </w:style>
  <w:style w:type="paragraph" w:styleId="23">
    <w:name w:val="List 2"/>
    <w:basedOn w:val="1"/>
    <w:qFormat/>
    <w:uiPriority w:val="0"/>
    <w:pPr>
      <w:widowControl w:val="0"/>
      <w:adjustRightInd w:val="0"/>
      <w:ind w:left="840" w:hanging="420"/>
    </w:pPr>
    <w:rPr>
      <w:rFonts w:ascii="Calibri" w:hAnsi="Calibri"/>
      <w:kern w:val="2"/>
      <w:sz w:val="21"/>
      <w:szCs w:val="22"/>
    </w:rPr>
  </w:style>
  <w:style w:type="paragraph" w:styleId="24">
    <w:name w:val="Block Text"/>
    <w:basedOn w:val="1"/>
    <w:qFormat/>
    <w:uiPriority w:val="0"/>
    <w:pPr>
      <w:adjustRightInd w:val="0"/>
      <w:spacing w:line="360" w:lineRule="auto"/>
      <w:ind w:left="630" w:right="-609" w:firstLine="420"/>
    </w:pPr>
    <w:rPr>
      <w:rFonts w:hint="eastAsia" w:ascii="仿宋_GB2312" w:eastAsia="仿宋_GB2312"/>
    </w:rPr>
  </w:style>
  <w:style w:type="paragraph" w:styleId="25">
    <w:name w:val="List Bullet 2"/>
    <w:basedOn w:val="1"/>
    <w:qFormat/>
    <w:uiPriority w:val="0"/>
    <w:pPr>
      <w:widowControl w:val="0"/>
      <w:tabs>
        <w:tab w:val="left" w:pos="851"/>
        <w:tab w:val="left" w:pos="1200"/>
      </w:tabs>
      <w:autoSpaceDE w:val="0"/>
      <w:autoSpaceDN w:val="0"/>
      <w:adjustRightInd w:val="0"/>
      <w:spacing w:line="360" w:lineRule="auto"/>
      <w:ind w:left="851" w:hanging="426"/>
      <w:jc w:val="both"/>
    </w:pPr>
    <w:rPr>
      <w:rFonts w:ascii="宋体" w:hAnsi="宋体" w:eastAsia="文鼎CS书宋二"/>
      <w:color w:val="000000"/>
      <w:spacing w:val="20"/>
      <w:kern w:val="2"/>
      <w:sz w:val="20"/>
    </w:rPr>
  </w:style>
  <w:style w:type="paragraph" w:styleId="26">
    <w:name w:val="index 4"/>
    <w:basedOn w:val="1"/>
    <w:next w:val="1"/>
    <w:qFormat/>
    <w:uiPriority w:val="0"/>
    <w:pPr>
      <w:widowControl w:val="0"/>
      <w:autoSpaceDE w:val="0"/>
      <w:autoSpaceDN w:val="0"/>
      <w:adjustRightInd w:val="0"/>
      <w:spacing w:line="360" w:lineRule="auto"/>
      <w:ind w:left="1080"/>
      <w:jc w:val="both"/>
    </w:pPr>
    <w:rPr>
      <w:rFonts w:ascii="宋体"/>
      <w:sz w:val="20"/>
      <w:szCs w:val="24"/>
    </w:rPr>
  </w:style>
  <w:style w:type="paragraph" w:styleId="27">
    <w:name w:val="toc 5"/>
    <w:basedOn w:val="1"/>
    <w:next w:val="1"/>
    <w:qFormat/>
    <w:uiPriority w:val="0"/>
    <w:pPr>
      <w:widowControl w:val="0"/>
      <w:autoSpaceDE w:val="0"/>
      <w:autoSpaceDN w:val="0"/>
      <w:adjustRightInd w:val="0"/>
      <w:spacing w:line="360" w:lineRule="auto"/>
      <w:ind w:left="800"/>
    </w:pPr>
    <w:rPr>
      <w:sz w:val="18"/>
      <w:szCs w:val="18"/>
    </w:rPr>
  </w:style>
  <w:style w:type="paragraph" w:styleId="28">
    <w:name w:val="toc 3"/>
    <w:basedOn w:val="1"/>
    <w:next w:val="1"/>
    <w:qFormat/>
    <w:uiPriority w:val="0"/>
    <w:pPr>
      <w:ind w:left="840" w:leftChars="400"/>
    </w:pPr>
  </w:style>
  <w:style w:type="paragraph" w:styleId="29">
    <w:name w:val="Plain Text"/>
    <w:basedOn w:val="1"/>
    <w:link w:val="83"/>
    <w:qFormat/>
    <w:uiPriority w:val="0"/>
    <w:rPr>
      <w:rFonts w:ascii="宋体" w:hAnsi="Courier New" w:eastAsia="楷体_GB2312"/>
      <w:sz w:val="26"/>
    </w:rPr>
  </w:style>
  <w:style w:type="paragraph" w:styleId="30">
    <w:name w:val="toc 8"/>
    <w:basedOn w:val="1"/>
    <w:next w:val="1"/>
    <w:qFormat/>
    <w:uiPriority w:val="0"/>
    <w:pPr>
      <w:widowControl w:val="0"/>
      <w:autoSpaceDE w:val="0"/>
      <w:autoSpaceDN w:val="0"/>
      <w:adjustRightInd w:val="0"/>
      <w:spacing w:line="360" w:lineRule="auto"/>
      <w:ind w:left="1400"/>
    </w:pPr>
    <w:rPr>
      <w:sz w:val="18"/>
      <w:szCs w:val="18"/>
    </w:rPr>
  </w:style>
  <w:style w:type="paragraph" w:styleId="31">
    <w:name w:val="index 3"/>
    <w:basedOn w:val="1"/>
    <w:next w:val="1"/>
    <w:qFormat/>
    <w:uiPriority w:val="0"/>
    <w:pPr>
      <w:widowControl w:val="0"/>
      <w:autoSpaceDE w:val="0"/>
      <w:autoSpaceDN w:val="0"/>
      <w:adjustRightInd w:val="0"/>
      <w:spacing w:line="360" w:lineRule="auto"/>
      <w:ind w:left="720"/>
      <w:jc w:val="both"/>
    </w:pPr>
    <w:rPr>
      <w:rFonts w:ascii="宋体"/>
      <w:sz w:val="20"/>
      <w:szCs w:val="24"/>
    </w:rPr>
  </w:style>
  <w:style w:type="paragraph" w:styleId="32">
    <w:name w:val="Date"/>
    <w:basedOn w:val="1"/>
    <w:next w:val="1"/>
    <w:link w:val="84"/>
    <w:qFormat/>
    <w:uiPriority w:val="0"/>
    <w:rPr>
      <w:rFonts w:ascii="宋体" w:hAnsi="宋体" w:eastAsia="楷体_GB2312"/>
    </w:rPr>
  </w:style>
  <w:style w:type="paragraph" w:styleId="33">
    <w:name w:val="Body Text Indent 2"/>
    <w:basedOn w:val="1"/>
    <w:link w:val="85"/>
    <w:qFormat/>
    <w:uiPriority w:val="0"/>
    <w:pPr>
      <w:spacing w:after="120" w:line="480" w:lineRule="auto"/>
      <w:ind w:left="420" w:leftChars="200"/>
    </w:pPr>
  </w:style>
  <w:style w:type="paragraph" w:styleId="34">
    <w:name w:val="Balloon Text"/>
    <w:basedOn w:val="1"/>
    <w:link w:val="86"/>
    <w:qFormat/>
    <w:uiPriority w:val="0"/>
    <w:rPr>
      <w:sz w:val="18"/>
    </w:rPr>
  </w:style>
  <w:style w:type="paragraph" w:styleId="35">
    <w:name w:val="footer"/>
    <w:basedOn w:val="1"/>
    <w:link w:val="87"/>
    <w:qFormat/>
    <w:uiPriority w:val="99"/>
    <w:pPr>
      <w:tabs>
        <w:tab w:val="center" w:pos="4153"/>
        <w:tab w:val="right" w:pos="8306"/>
      </w:tabs>
      <w:snapToGrid w:val="0"/>
    </w:pPr>
    <w:rPr>
      <w:rFonts w:eastAsia="楷体_GB2312"/>
      <w:sz w:val="18"/>
    </w:rPr>
  </w:style>
  <w:style w:type="paragraph" w:styleId="36">
    <w:name w:val="header"/>
    <w:basedOn w:val="1"/>
    <w:link w:val="88"/>
    <w:qFormat/>
    <w:uiPriority w:val="99"/>
    <w:pPr>
      <w:pBdr>
        <w:bottom w:val="single" w:color="auto" w:sz="6" w:space="1"/>
      </w:pBdr>
      <w:tabs>
        <w:tab w:val="center" w:pos="4153"/>
        <w:tab w:val="right" w:pos="8306"/>
      </w:tabs>
      <w:snapToGrid w:val="0"/>
      <w:jc w:val="center"/>
    </w:pPr>
    <w:rPr>
      <w:rFonts w:eastAsia="楷体_GB2312"/>
      <w:sz w:val="18"/>
    </w:rPr>
  </w:style>
  <w:style w:type="paragraph" w:styleId="37">
    <w:name w:val="toc 1"/>
    <w:basedOn w:val="1"/>
    <w:next w:val="1"/>
    <w:qFormat/>
    <w:uiPriority w:val="0"/>
    <w:pPr>
      <w:adjustRightInd w:val="0"/>
      <w:textAlignment w:val="baseline"/>
    </w:pPr>
    <w:rPr>
      <w:rFonts w:eastAsia="楷体_GB2312"/>
    </w:rPr>
  </w:style>
  <w:style w:type="paragraph" w:styleId="38">
    <w:name w:val="toc 4"/>
    <w:basedOn w:val="1"/>
    <w:next w:val="1"/>
    <w:qFormat/>
    <w:uiPriority w:val="0"/>
    <w:pPr>
      <w:widowControl w:val="0"/>
      <w:autoSpaceDE w:val="0"/>
      <w:autoSpaceDN w:val="0"/>
      <w:adjustRightInd w:val="0"/>
      <w:spacing w:line="360" w:lineRule="auto"/>
      <w:ind w:left="600"/>
    </w:pPr>
    <w:rPr>
      <w:sz w:val="18"/>
      <w:szCs w:val="18"/>
    </w:rPr>
  </w:style>
  <w:style w:type="paragraph" w:styleId="39">
    <w:name w:val="index heading"/>
    <w:basedOn w:val="1"/>
    <w:next w:val="40"/>
    <w:qFormat/>
    <w:uiPriority w:val="0"/>
    <w:pPr>
      <w:widowControl w:val="0"/>
      <w:autoSpaceDE w:val="0"/>
      <w:autoSpaceDN w:val="0"/>
      <w:adjustRightInd w:val="0"/>
      <w:spacing w:line="360" w:lineRule="auto"/>
      <w:jc w:val="both"/>
    </w:pPr>
    <w:rPr>
      <w:rFonts w:ascii="宋体"/>
      <w:sz w:val="20"/>
      <w:szCs w:val="24"/>
    </w:rPr>
  </w:style>
  <w:style w:type="paragraph" w:styleId="40">
    <w:name w:val="index 1"/>
    <w:basedOn w:val="1"/>
    <w:next w:val="1"/>
    <w:semiHidden/>
    <w:qFormat/>
    <w:uiPriority w:val="0"/>
    <w:pPr>
      <w:widowControl w:val="0"/>
      <w:spacing w:line="280" w:lineRule="exact"/>
      <w:jc w:val="both"/>
    </w:pPr>
    <w:rPr>
      <w:color w:val="FF0000"/>
      <w:kern w:val="2"/>
      <w:sz w:val="21"/>
      <w:szCs w:val="24"/>
    </w:rPr>
  </w:style>
  <w:style w:type="paragraph" w:styleId="41">
    <w:name w:val="List"/>
    <w:basedOn w:val="1"/>
    <w:qFormat/>
    <w:uiPriority w:val="0"/>
    <w:pPr>
      <w:widowControl w:val="0"/>
      <w:ind w:left="200" w:hanging="200" w:hangingChars="200"/>
      <w:jc w:val="both"/>
    </w:pPr>
    <w:rPr>
      <w:kern w:val="2"/>
      <w:sz w:val="21"/>
      <w:szCs w:val="24"/>
    </w:rPr>
  </w:style>
  <w:style w:type="paragraph" w:styleId="42">
    <w:name w:val="footnote text"/>
    <w:basedOn w:val="1"/>
    <w:link w:val="89"/>
    <w:qFormat/>
    <w:uiPriority w:val="0"/>
    <w:pPr>
      <w:widowControl w:val="0"/>
      <w:autoSpaceDE w:val="0"/>
      <w:autoSpaceDN w:val="0"/>
      <w:adjustRightInd w:val="0"/>
      <w:spacing w:line="360" w:lineRule="auto"/>
      <w:jc w:val="both"/>
    </w:pPr>
    <w:rPr>
      <w:rFonts w:ascii="宋体" w:hAnsi="宋体"/>
      <w:szCs w:val="24"/>
    </w:rPr>
  </w:style>
  <w:style w:type="paragraph" w:styleId="43">
    <w:name w:val="toc 6"/>
    <w:basedOn w:val="1"/>
    <w:next w:val="1"/>
    <w:qFormat/>
    <w:uiPriority w:val="0"/>
    <w:pPr>
      <w:widowControl w:val="0"/>
      <w:autoSpaceDE w:val="0"/>
      <w:autoSpaceDN w:val="0"/>
      <w:adjustRightInd w:val="0"/>
      <w:spacing w:line="360" w:lineRule="auto"/>
      <w:ind w:left="1000"/>
    </w:pPr>
    <w:rPr>
      <w:sz w:val="18"/>
      <w:szCs w:val="18"/>
    </w:rPr>
  </w:style>
  <w:style w:type="paragraph" w:styleId="44">
    <w:name w:val="Body Text Indent 3"/>
    <w:basedOn w:val="1"/>
    <w:link w:val="90"/>
    <w:qFormat/>
    <w:uiPriority w:val="0"/>
    <w:pPr>
      <w:spacing w:after="120"/>
      <w:ind w:left="420" w:leftChars="200"/>
    </w:pPr>
    <w:rPr>
      <w:sz w:val="16"/>
    </w:rPr>
  </w:style>
  <w:style w:type="paragraph" w:styleId="45">
    <w:name w:val="index 7"/>
    <w:basedOn w:val="1"/>
    <w:next w:val="1"/>
    <w:qFormat/>
    <w:uiPriority w:val="0"/>
    <w:pPr>
      <w:widowControl w:val="0"/>
      <w:autoSpaceDE w:val="0"/>
      <w:autoSpaceDN w:val="0"/>
      <w:adjustRightInd w:val="0"/>
      <w:spacing w:line="360" w:lineRule="auto"/>
      <w:ind w:left="2160"/>
      <w:jc w:val="both"/>
    </w:pPr>
    <w:rPr>
      <w:rFonts w:ascii="宋体"/>
      <w:sz w:val="20"/>
      <w:szCs w:val="24"/>
    </w:rPr>
  </w:style>
  <w:style w:type="paragraph" w:styleId="46">
    <w:name w:val="table of figures"/>
    <w:basedOn w:val="1"/>
    <w:next w:val="1"/>
    <w:qFormat/>
    <w:uiPriority w:val="0"/>
    <w:pPr>
      <w:widowControl w:val="0"/>
      <w:spacing w:beforeLines="50" w:line="360" w:lineRule="auto"/>
      <w:ind w:left="840" w:leftChars="200" w:hanging="420" w:hangingChars="200"/>
      <w:jc w:val="both"/>
    </w:pPr>
    <w:rPr>
      <w:kern w:val="2"/>
      <w:szCs w:val="24"/>
    </w:rPr>
  </w:style>
  <w:style w:type="paragraph" w:styleId="47">
    <w:name w:val="toc 2"/>
    <w:basedOn w:val="1"/>
    <w:next w:val="1"/>
    <w:qFormat/>
    <w:uiPriority w:val="0"/>
    <w:pPr>
      <w:widowControl w:val="0"/>
      <w:autoSpaceDE w:val="0"/>
      <w:autoSpaceDN w:val="0"/>
      <w:adjustRightInd w:val="0"/>
      <w:spacing w:line="360" w:lineRule="auto"/>
      <w:ind w:firstLine="150" w:firstLineChars="150"/>
    </w:pPr>
    <w:rPr>
      <w:smallCaps/>
    </w:rPr>
  </w:style>
  <w:style w:type="paragraph" w:styleId="48">
    <w:name w:val="toc 9"/>
    <w:basedOn w:val="1"/>
    <w:next w:val="1"/>
    <w:qFormat/>
    <w:uiPriority w:val="0"/>
    <w:pPr>
      <w:widowControl w:val="0"/>
      <w:autoSpaceDE w:val="0"/>
      <w:autoSpaceDN w:val="0"/>
      <w:adjustRightInd w:val="0"/>
      <w:spacing w:line="360" w:lineRule="auto"/>
      <w:ind w:left="1600"/>
    </w:pPr>
    <w:rPr>
      <w:sz w:val="18"/>
      <w:szCs w:val="18"/>
    </w:rPr>
  </w:style>
  <w:style w:type="paragraph" w:styleId="49">
    <w:name w:val="Body Text 2"/>
    <w:basedOn w:val="1"/>
    <w:link w:val="91"/>
    <w:qFormat/>
    <w:uiPriority w:val="0"/>
    <w:pPr>
      <w:spacing w:after="120" w:line="480" w:lineRule="auto"/>
    </w:pPr>
  </w:style>
  <w:style w:type="paragraph" w:styleId="50">
    <w:name w:val="List 4"/>
    <w:basedOn w:val="1"/>
    <w:unhideWhenUsed/>
    <w:qFormat/>
    <w:uiPriority w:val="99"/>
    <w:pPr>
      <w:widowControl w:val="0"/>
      <w:ind w:left="100" w:leftChars="600" w:hanging="200" w:hangingChars="200"/>
      <w:contextualSpacing/>
      <w:jc w:val="both"/>
    </w:pPr>
    <w:rPr>
      <w:kern w:val="2"/>
      <w:sz w:val="21"/>
      <w:szCs w:val="24"/>
    </w:rPr>
  </w:style>
  <w:style w:type="paragraph" w:styleId="51">
    <w:name w:val="HTML Preformatted"/>
    <w:basedOn w:val="1"/>
    <w:link w:val="9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52">
    <w:name w:val="Normal (Web)"/>
    <w:basedOn w:val="1"/>
    <w:qFormat/>
    <w:uiPriority w:val="0"/>
    <w:pPr>
      <w:spacing w:before="100" w:beforeAutospacing="1" w:after="100" w:afterAutospacing="1"/>
    </w:pPr>
    <w:rPr>
      <w:rFonts w:ascii="宋体" w:hAnsi="宋体"/>
    </w:rPr>
  </w:style>
  <w:style w:type="paragraph" w:styleId="53">
    <w:name w:val="index 2"/>
    <w:basedOn w:val="1"/>
    <w:next w:val="1"/>
    <w:qFormat/>
    <w:uiPriority w:val="0"/>
    <w:pPr>
      <w:widowControl w:val="0"/>
      <w:autoSpaceDE w:val="0"/>
      <w:autoSpaceDN w:val="0"/>
      <w:adjustRightInd w:val="0"/>
      <w:spacing w:line="360" w:lineRule="auto"/>
      <w:ind w:left="360"/>
      <w:jc w:val="both"/>
    </w:pPr>
    <w:rPr>
      <w:rFonts w:ascii="宋体"/>
      <w:sz w:val="20"/>
      <w:szCs w:val="24"/>
    </w:rPr>
  </w:style>
  <w:style w:type="paragraph" w:styleId="54">
    <w:name w:val="annotation subject"/>
    <w:basedOn w:val="18"/>
    <w:next w:val="18"/>
    <w:link w:val="93"/>
    <w:qFormat/>
    <w:uiPriority w:val="0"/>
    <w:rPr>
      <w:b/>
      <w:bCs/>
    </w:rPr>
  </w:style>
  <w:style w:type="paragraph" w:styleId="55">
    <w:name w:val="Body Text First Indent"/>
    <w:basedOn w:val="21"/>
    <w:link w:val="94"/>
    <w:qFormat/>
    <w:uiPriority w:val="0"/>
    <w:pPr>
      <w:widowControl w:val="0"/>
      <w:spacing w:after="120"/>
      <w:ind w:firstLine="420" w:firstLineChars="100"/>
      <w:jc w:val="both"/>
    </w:pPr>
    <w:rPr>
      <w:kern w:val="2"/>
      <w:sz w:val="21"/>
      <w:szCs w:val="24"/>
    </w:rPr>
  </w:style>
  <w:style w:type="table" w:styleId="57">
    <w:name w:val="Table Grid"/>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Professional"/>
    <w:basedOn w:val="5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0">
    <w:name w:val="Strong"/>
    <w:qFormat/>
    <w:uiPriority w:val="0"/>
    <w:rPr>
      <w:b/>
      <w:bCs/>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color w:val="CC0000"/>
    </w:rPr>
  </w:style>
  <w:style w:type="character" w:styleId="64">
    <w:name w:val="line number"/>
    <w:qFormat/>
    <w:uiPriority w:val="0"/>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6"/>
      <w:szCs w:val="16"/>
    </w:rPr>
  </w:style>
  <w:style w:type="character" w:customStyle="1" w:styleId="68">
    <w:name w:val="标题 1 字符"/>
    <w:link w:val="3"/>
    <w:qFormat/>
    <w:uiPriority w:val="0"/>
    <w:rPr>
      <w:rFonts w:eastAsia="楷体_GB2312"/>
      <w:b/>
      <w:kern w:val="44"/>
      <w:sz w:val="44"/>
    </w:rPr>
  </w:style>
  <w:style w:type="character" w:customStyle="1" w:styleId="69">
    <w:name w:val="标题 2 字符"/>
    <w:link w:val="4"/>
    <w:semiHidden/>
    <w:qFormat/>
    <w:uiPriority w:val="0"/>
    <w:rPr>
      <w:rFonts w:ascii="Cambria" w:hAnsi="Cambria" w:eastAsia="宋体" w:cs="Times New Roman"/>
      <w:b/>
      <w:bCs/>
      <w:sz w:val="32"/>
      <w:szCs w:val="32"/>
    </w:rPr>
  </w:style>
  <w:style w:type="character" w:customStyle="1" w:styleId="70">
    <w:name w:val="标题 3 字符"/>
    <w:link w:val="5"/>
    <w:qFormat/>
    <w:uiPriority w:val="0"/>
    <w:rPr>
      <w:b/>
      <w:kern w:val="2"/>
      <w:sz w:val="32"/>
    </w:rPr>
  </w:style>
  <w:style w:type="character" w:customStyle="1" w:styleId="71">
    <w:name w:val="标题 4 字符"/>
    <w:link w:val="6"/>
    <w:qFormat/>
    <w:uiPriority w:val="0"/>
    <w:rPr>
      <w:rFonts w:ascii="Cambria" w:hAnsi="Cambria"/>
      <w:b/>
      <w:bCs/>
      <w:kern w:val="2"/>
      <w:sz w:val="28"/>
      <w:szCs w:val="28"/>
    </w:rPr>
  </w:style>
  <w:style w:type="character" w:customStyle="1" w:styleId="72">
    <w:name w:val="标题 5 字符"/>
    <w:link w:val="7"/>
    <w:qFormat/>
    <w:uiPriority w:val="0"/>
    <w:rPr>
      <w:b/>
      <w:bCs/>
      <w:sz w:val="28"/>
      <w:szCs w:val="28"/>
    </w:rPr>
  </w:style>
  <w:style w:type="character" w:customStyle="1" w:styleId="73">
    <w:name w:val="标题 6 字符"/>
    <w:link w:val="8"/>
    <w:qFormat/>
    <w:uiPriority w:val="0"/>
    <w:rPr>
      <w:rFonts w:ascii="Arial" w:hAnsi="Arial" w:eastAsia="黑体"/>
      <w:b/>
      <w:kern w:val="2"/>
      <w:sz w:val="24"/>
    </w:rPr>
  </w:style>
  <w:style w:type="character" w:customStyle="1" w:styleId="74">
    <w:name w:val="正文缩进 字符1"/>
    <w:link w:val="9"/>
    <w:qFormat/>
    <w:locked/>
    <w:uiPriority w:val="0"/>
    <w:rPr>
      <w:rFonts w:eastAsia="楷体_GB2312"/>
      <w:sz w:val="24"/>
    </w:rPr>
  </w:style>
  <w:style w:type="character" w:customStyle="1" w:styleId="75">
    <w:name w:val="标题 7 字符"/>
    <w:link w:val="10"/>
    <w:qFormat/>
    <w:uiPriority w:val="0"/>
    <w:rPr>
      <w:b/>
      <w:kern w:val="2"/>
      <w:sz w:val="24"/>
    </w:rPr>
  </w:style>
  <w:style w:type="character" w:customStyle="1" w:styleId="76">
    <w:name w:val="标题 8 字符"/>
    <w:link w:val="11"/>
    <w:qFormat/>
    <w:uiPriority w:val="0"/>
    <w:rPr>
      <w:rFonts w:ascii="Arial" w:hAnsi="Arial" w:eastAsia="黑体"/>
      <w:kern w:val="2"/>
      <w:sz w:val="24"/>
    </w:rPr>
  </w:style>
  <w:style w:type="character" w:customStyle="1" w:styleId="77">
    <w:name w:val="标题 9 字符"/>
    <w:link w:val="12"/>
    <w:qFormat/>
    <w:uiPriority w:val="0"/>
    <w:rPr>
      <w:rFonts w:ascii="Arial" w:hAnsi="Arial" w:eastAsia="黑体"/>
      <w:kern w:val="2"/>
      <w:sz w:val="21"/>
    </w:rPr>
  </w:style>
  <w:style w:type="character" w:customStyle="1" w:styleId="78">
    <w:name w:val="文档结构图 字符"/>
    <w:link w:val="16"/>
    <w:qFormat/>
    <w:uiPriority w:val="0"/>
    <w:rPr>
      <w:sz w:val="24"/>
      <w:shd w:val="clear" w:color="auto" w:fill="000080"/>
    </w:rPr>
  </w:style>
  <w:style w:type="character" w:customStyle="1" w:styleId="79">
    <w:name w:val="批注文字 字符"/>
    <w:link w:val="18"/>
    <w:qFormat/>
    <w:uiPriority w:val="0"/>
    <w:rPr>
      <w:sz w:val="24"/>
    </w:rPr>
  </w:style>
  <w:style w:type="character" w:customStyle="1" w:styleId="80">
    <w:name w:val="正文文本 3 字符"/>
    <w:link w:val="20"/>
    <w:qFormat/>
    <w:uiPriority w:val="0"/>
    <w:rPr>
      <w:kern w:val="2"/>
      <w:sz w:val="16"/>
      <w:szCs w:val="16"/>
    </w:rPr>
  </w:style>
  <w:style w:type="character" w:customStyle="1" w:styleId="81">
    <w:name w:val="正文文本 字符"/>
    <w:link w:val="21"/>
    <w:qFormat/>
    <w:uiPriority w:val="0"/>
    <w:rPr>
      <w:sz w:val="24"/>
    </w:rPr>
  </w:style>
  <w:style w:type="character" w:customStyle="1" w:styleId="82">
    <w:name w:val="正文文本缩进 字符"/>
    <w:link w:val="22"/>
    <w:qFormat/>
    <w:uiPriority w:val="0"/>
    <w:rPr>
      <w:sz w:val="24"/>
    </w:rPr>
  </w:style>
  <w:style w:type="character" w:customStyle="1" w:styleId="83">
    <w:name w:val="纯文本 字符"/>
    <w:link w:val="29"/>
    <w:qFormat/>
    <w:uiPriority w:val="0"/>
    <w:rPr>
      <w:rFonts w:ascii="宋体" w:hAnsi="Courier New" w:eastAsia="楷体_GB2312"/>
      <w:sz w:val="26"/>
      <w:lang w:val="en-US" w:eastAsia="zh-CN" w:bidi="ar-SA"/>
    </w:rPr>
  </w:style>
  <w:style w:type="character" w:customStyle="1" w:styleId="84">
    <w:name w:val="日期 字符"/>
    <w:link w:val="32"/>
    <w:qFormat/>
    <w:locked/>
    <w:uiPriority w:val="0"/>
    <w:rPr>
      <w:rFonts w:ascii="宋体" w:hAnsi="宋体" w:eastAsia="楷体_GB2312"/>
      <w:sz w:val="24"/>
    </w:rPr>
  </w:style>
  <w:style w:type="character" w:customStyle="1" w:styleId="85">
    <w:name w:val="正文文本缩进 2 字符"/>
    <w:link w:val="33"/>
    <w:qFormat/>
    <w:uiPriority w:val="0"/>
    <w:rPr>
      <w:sz w:val="24"/>
    </w:rPr>
  </w:style>
  <w:style w:type="character" w:customStyle="1" w:styleId="86">
    <w:name w:val="批注框文本 字符"/>
    <w:link w:val="34"/>
    <w:qFormat/>
    <w:locked/>
    <w:uiPriority w:val="0"/>
    <w:rPr>
      <w:sz w:val="18"/>
    </w:rPr>
  </w:style>
  <w:style w:type="character" w:customStyle="1" w:styleId="87">
    <w:name w:val="页脚 字符"/>
    <w:link w:val="35"/>
    <w:qFormat/>
    <w:uiPriority w:val="99"/>
    <w:rPr>
      <w:rFonts w:eastAsia="楷体_GB2312"/>
      <w:sz w:val="18"/>
    </w:rPr>
  </w:style>
  <w:style w:type="character" w:customStyle="1" w:styleId="88">
    <w:name w:val="页眉 字符"/>
    <w:link w:val="36"/>
    <w:qFormat/>
    <w:uiPriority w:val="99"/>
    <w:rPr>
      <w:rFonts w:eastAsia="楷体_GB2312"/>
      <w:sz w:val="18"/>
    </w:rPr>
  </w:style>
  <w:style w:type="character" w:customStyle="1" w:styleId="89">
    <w:name w:val="脚注文本 字符"/>
    <w:link w:val="42"/>
    <w:qFormat/>
    <w:uiPriority w:val="0"/>
    <w:rPr>
      <w:rFonts w:ascii="宋体" w:hAnsi="宋体" w:cs="宋体"/>
      <w:sz w:val="24"/>
      <w:szCs w:val="24"/>
    </w:rPr>
  </w:style>
  <w:style w:type="character" w:customStyle="1" w:styleId="90">
    <w:name w:val="正文文本缩进 3 字符"/>
    <w:link w:val="44"/>
    <w:qFormat/>
    <w:uiPriority w:val="0"/>
    <w:rPr>
      <w:sz w:val="16"/>
    </w:rPr>
  </w:style>
  <w:style w:type="character" w:customStyle="1" w:styleId="91">
    <w:name w:val="正文文本 2 字符"/>
    <w:link w:val="49"/>
    <w:qFormat/>
    <w:uiPriority w:val="0"/>
    <w:rPr>
      <w:sz w:val="24"/>
    </w:rPr>
  </w:style>
  <w:style w:type="character" w:customStyle="1" w:styleId="92">
    <w:name w:val="HTML 预设格式 字符"/>
    <w:link w:val="51"/>
    <w:qFormat/>
    <w:uiPriority w:val="0"/>
    <w:rPr>
      <w:rFonts w:ascii="黑体" w:hAnsi="Courier New" w:eastAsia="黑体"/>
    </w:rPr>
  </w:style>
  <w:style w:type="character" w:customStyle="1" w:styleId="93">
    <w:name w:val="批注主题 字符"/>
    <w:link w:val="54"/>
    <w:qFormat/>
    <w:uiPriority w:val="0"/>
    <w:rPr>
      <w:b/>
      <w:bCs/>
      <w:sz w:val="24"/>
    </w:rPr>
  </w:style>
  <w:style w:type="character" w:customStyle="1" w:styleId="94">
    <w:name w:val="正文首行缩进 字符"/>
    <w:link w:val="55"/>
    <w:qFormat/>
    <w:uiPriority w:val="0"/>
    <w:rPr>
      <w:kern w:val="2"/>
      <w:sz w:val="21"/>
      <w:szCs w:val="24"/>
    </w:rPr>
  </w:style>
  <w:style w:type="character" w:customStyle="1" w:styleId="95">
    <w:name w:val="p12"/>
    <w:qFormat/>
    <w:uiPriority w:val="0"/>
  </w:style>
  <w:style w:type="character" w:customStyle="1" w:styleId="96">
    <w:name w:val="图标题 Char"/>
    <w:link w:val="97"/>
    <w:qFormat/>
    <w:uiPriority w:val="0"/>
    <w:rPr>
      <w:rFonts w:eastAsia="黑体"/>
      <w:kern w:val="2"/>
      <w:sz w:val="24"/>
      <w:szCs w:val="24"/>
    </w:rPr>
  </w:style>
  <w:style w:type="paragraph" w:customStyle="1" w:styleId="97">
    <w:name w:val="图标题"/>
    <w:basedOn w:val="1"/>
    <w:link w:val="96"/>
    <w:qFormat/>
    <w:uiPriority w:val="0"/>
    <w:pPr>
      <w:widowControl w:val="0"/>
      <w:spacing w:after="156" w:line="360" w:lineRule="auto"/>
      <w:jc w:val="center"/>
    </w:pPr>
    <w:rPr>
      <w:rFonts w:eastAsia="黑体"/>
      <w:kern w:val="2"/>
      <w:szCs w:val="24"/>
    </w:rPr>
  </w:style>
  <w:style w:type="character" w:customStyle="1" w:styleId="98">
    <w:name w:val="正文文本缩进 3 Char"/>
    <w:qFormat/>
    <w:uiPriority w:val="0"/>
    <w:rPr>
      <w:sz w:val="16"/>
    </w:rPr>
  </w:style>
  <w:style w:type="character" w:customStyle="1" w:styleId="99">
    <w:name w:val="Plain Text Char Char"/>
    <w:link w:val="100"/>
    <w:qFormat/>
    <w:uiPriority w:val="0"/>
    <w:rPr>
      <w:rFonts w:ascii="宋体" w:hAnsi="Courier New" w:eastAsia="楷体_GB2312"/>
      <w:sz w:val="26"/>
    </w:rPr>
  </w:style>
  <w:style w:type="paragraph" w:customStyle="1" w:styleId="100">
    <w:name w:val="纯文本2"/>
    <w:basedOn w:val="1"/>
    <w:link w:val="99"/>
    <w:qFormat/>
    <w:uiPriority w:val="0"/>
    <w:pPr>
      <w:widowControl w:val="0"/>
      <w:adjustRightInd w:val="0"/>
      <w:jc w:val="both"/>
      <w:textAlignment w:val="baseline"/>
    </w:pPr>
    <w:rPr>
      <w:rFonts w:ascii="宋体" w:hAnsi="Courier New" w:eastAsia="楷体_GB2312"/>
      <w:sz w:val="26"/>
    </w:rPr>
  </w:style>
  <w:style w:type="character" w:customStyle="1" w:styleId="101">
    <w:name w:val="方案正文 Char"/>
    <w:link w:val="102"/>
    <w:qFormat/>
    <w:uiPriority w:val="0"/>
    <w:rPr>
      <w:rFonts w:ascii="宋体" w:hAnsi="宋体"/>
      <w:kern w:val="2"/>
      <w:sz w:val="24"/>
      <w:szCs w:val="24"/>
    </w:rPr>
  </w:style>
  <w:style w:type="paragraph" w:customStyle="1" w:styleId="102">
    <w:name w:val="方案正文"/>
    <w:basedOn w:val="1"/>
    <w:link w:val="101"/>
    <w:qFormat/>
    <w:uiPriority w:val="0"/>
    <w:pPr>
      <w:widowControl w:val="0"/>
      <w:spacing w:line="360" w:lineRule="auto"/>
      <w:ind w:firstLine="200" w:firstLineChars="200"/>
      <w:jc w:val="both"/>
    </w:pPr>
    <w:rPr>
      <w:rFonts w:ascii="宋体" w:hAnsi="宋体"/>
      <w:kern w:val="2"/>
      <w:szCs w:val="24"/>
    </w:rPr>
  </w:style>
  <w:style w:type="character" w:customStyle="1" w:styleId="103">
    <w:name w:val="正文缩进 Char1"/>
    <w:qFormat/>
    <w:uiPriority w:val="0"/>
    <w:rPr>
      <w:rFonts w:hint="default" w:eastAsia="楷体_GB2312"/>
      <w:sz w:val="24"/>
      <w:lang w:val="en-US" w:eastAsia="zh-CN"/>
    </w:rPr>
  </w:style>
  <w:style w:type="character" w:customStyle="1" w:styleId="104">
    <w:name w:val="正文文本 Char"/>
    <w:qFormat/>
    <w:uiPriority w:val="0"/>
    <w:rPr>
      <w:rFonts w:ascii="Times New Roman" w:hAnsi="Times New Roman" w:eastAsia="宋体" w:cs="Times New Roman"/>
      <w:sz w:val="24"/>
      <w:szCs w:val="24"/>
    </w:rPr>
  </w:style>
  <w:style w:type="character" w:customStyle="1" w:styleId="105">
    <w:name w:val="Char Char11"/>
    <w:qFormat/>
    <w:uiPriority w:val="0"/>
    <w:rPr>
      <w:rFonts w:ascii="Times New Roman" w:hAnsi="Times New Roman" w:eastAsia="宋体" w:cs="Times New Roman"/>
      <w:sz w:val="24"/>
      <w:szCs w:val="24"/>
    </w:rPr>
  </w:style>
  <w:style w:type="character" w:customStyle="1" w:styleId="106">
    <w:name w:val="表格 Char"/>
    <w:link w:val="107"/>
    <w:qFormat/>
    <w:uiPriority w:val="0"/>
    <w:rPr>
      <w:sz w:val="24"/>
    </w:rPr>
  </w:style>
  <w:style w:type="paragraph" w:customStyle="1" w:styleId="107">
    <w:name w:val="表格"/>
    <w:basedOn w:val="1"/>
    <w:link w:val="106"/>
    <w:qFormat/>
    <w:uiPriority w:val="0"/>
    <w:pPr>
      <w:widowControl w:val="0"/>
      <w:jc w:val="center"/>
    </w:pPr>
  </w:style>
  <w:style w:type="character" w:customStyle="1" w:styleId="108">
    <w:name w:val="Normal + Font: Helvetica Char"/>
    <w:qFormat/>
    <w:uiPriority w:val="0"/>
    <w:rPr>
      <w:rFonts w:ascii="Times New Roman" w:hAnsi="Times New Roman"/>
      <w:b/>
      <w:kern w:val="44"/>
      <w:sz w:val="44"/>
    </w:rPr>
  </w:style>
  <w:style w:type="character" w:customStyle="1" w:styleId="109">
    <w:name w:val="H2 Char1"/>
    <w:semiHidden/>
    <w:qFormat/>
    <w:uiPriority w:val="0"/>
    <w:rPr>
      <w:rFonts w:ascii="Cambria" w:hAnsi="Cambria" w:eastAsia="宋体" w:cs="Times New Roman"/>
      <w:b/>
      <w:bCs/>
      <w:kern w:val="2"/>
      <w:sz w:val="32"/>
      <w:szCs w:val="32"/>
    </w:rPr>
  </w:style>
  <w:style w:type="character" w:customStyle="1" w:styleId="110">
    <w:name w:val="ca-0"/>
    <w:qFormat/>
    <w:uiPriority w:val="0"/>
    <w:rPr>
      <w:rFonts w:cs="Times New Roman"/>
    </w:rPr>
  </w:style>
  <w:style w:type="character" w:customStyle="1" w:styleId="111">
    <w:name w:val="脚注文本 Char1"/>
    <w:qFormat/>
    <w:uiPriority w:val="99"/>
    <w:rPr>
      <w:sz w:val="18"/>
      <w:szCs w:val="18"/>
    </w:rPr>
  </w:style>
  <w:style w:type="character" w:customStyle="1" w:styleId="112">
    <w:name w:val="txt"/>
    <w:semiHidden/>
    <w:qFormat/>
    <w:uiPriority w:val="0"/>
  </w:style>
  <w:style w:type="character" w:customStyle="1" w:styleId="113">
    <w:name w:val="标题样式 Char"/>
    <w:link w:val="114"/>
    <w:qFormat/>
    <w:uiPriority w:val="0"/>
    <w:rPr>
      <w:b/>
      <w:sz w:val="24"/>
    </w:rPr>
  </w:style>
  <w:style w:type="paragraph" w:customStyle="1" w:styleId="114">
    <w:name w:val="标题样式"/>
    <w:basedOn w:val="1"/>
    <w:link w:val="113"/>
    <w:qFormat/>
    <w:uiPriority w:val="0"/>
    <w:pPr>
      <w:widowControl w:val="0"/>
      <w:spacing w:beforeLines="50" w:afterLines="50"/>
      <w:jc w:val="both"/>
    </w:pPr>
    <w:rPr>
      <w:b/>
    </w:rPr>
  </w:style>
  <w:style w:type="character" w:customStyle="1" w:styleId="115">
    <w:name w:val="H2 Char"/>
    <w:qFormat/>
    <w:uiPriority w:val="0"/>
    <w:rPr>
      <w:rFonts w:ascii="Arial" w:hAnsi="Arial" w:eastAsia="黑体"/>
      <w:b/>
      <w:kern w:val="2"/>
      <w:sz w:val="32"/>
    </w:rPr>
  </w:style>
  <w:style w:type="character" w:customStyle="1" w:styleId="116">
    <w:name w:val="方案 Char"/>
    <w:link w:val="117"/>
    <w:qFormat/>
    <w:uiPriority w:val="0"/>
    <w:rPr>
      <w:rFonts w:ascii="宋体" w:hAnsi="宋体"/>
      <w:sz w:val="24"/>
      <w:szCs w:val="24"/>
    </w:rPr>
  </w:style>
  <w:style w:type="paragraph" w:customStyle="1" w:styleId="117">
    <w:name w:val="方案"/>
    <w:basedOn w:val="1"/>
    <w:link w:val="116"/>
    <w:qFormat/>
    <w:uiPriority w:val="0"/>
    <w:pPr>
      <w:widowControl w:val="0"/>
      <w:spacing w:line="360" w:lineRule="auto"/>
      <w:ind w:firstLine="200" w:firstLineChars="200"/>
      <w:jc w:val="both"/>
    </w:pPr>
    <w:rPr>
      <w:rFonts w:ascii="宋体" w:hAnsi="宋体"/>
      <w:szCs w:val="24"/>
    </w:rPr>
  </w:style>
  <w:style w:type="character" w:customStyle="1" w:styleId="118">
    <w:name w:val="sub-title1"/>
    <w:qFormat/>
    <w:uiPriority w:val="0"/>
    <w:rPr>
      <w:rFonts w:hint="default" w:ascii="Arial" w:hAnsi="Arial" w:cs="Arial"/>
      <w:b/>
      <w:bCs/>
      <w:color w:val="666666"/>
      <w:sz w:val="20"/>
      <w:szCs w:val="20"/>
      <w:shd w:val="clear" w:color="auto" w:fill="DDDCDE"/>
    </w:rPr>
  </w:style>
  <w:style w:type="character" w:customStyle="1" w:styleId="119">
    <w:name w:val="f141"/>
    <w:qFormat/>
    <w:uiPriority w:val="0"/>
    <w:rPr>
      <w:sz w:val="23"/>
      <w:szCs w:val="23"/>
    </w:rPr>
  </w:style>
  <w:style w:type="character" w:customStyle="1" w:styleId="120">
    <w:name w:val="列出段落 字符"/>
    <w:link w:val="121"/>
    <w:qFormat/>
    <w:uiPriority w:val="34"/>
    <w:rPr>
      <w:rFonts w:ascii="Calibri" w:hAnsi="Calibri"/>
      <w:kern w:val="2"/>
      <w:sz w:val="21"/>
      <w:szCs w:val="22"/>
    </w:rPr>
  </w:style>
  <w:style w:type="paragraph" w:styleId="121">
    <w:name w:val="List Paragraph"/>
    <w:basedOn w:val="1"/>
    <w:link w:val="120"/>
    <w:qFormat/>
    <w:uiPriority w:val="34"/>
    <w:pPr>
      <w:widowControl w:val="0"/>
      <w:ind w:firstLine="420" w:firstLineChars="200"/>
      <w:jc w:val="both"/>
    </w:pPr>
    <w:rPr>
      <w:rFonts w:ascii="Calibri" w:hAnsi="Calibri"/>
      <w:kern w:val="2"/>
      <w:sz w:val="21"/>
      <w:szCs w:val="22"/>
    </w:rPr>
  </w:style>
  <w:style w:type="character" w:customStyle="1" w:styleId="122">
    <w:name w:val="heading 3 Char"/>
    <w:qFormat/>
    <w:uiPriority w:val="0"/>
    <w:rPr>
      <w:rFonts w:ascii="Times New Roman" w:hAnsi="Times New Roman"/>
      <w:b/>
      <w:kern w:val="2"/>
      <w:sz w:val="32"/>
    </w:rPr>
  </w:style>
  <w:style w:type="character" w:customStyle="1" w:styleId="123">
    <w:name w:val="普通文字 Char1"/>
    <w:qFormat/>
    <w:uiPriority w:val="0"/>
    <w:rPr>
      <w:rFonts w:ascii="宋体" w:hAnsi="Courier New" w:eastAsia="楷体_GB2312" w:cs="Times New Roman"/>
      <w:sz w:val="26"/>
      <w:szCs w:val="20"/>
    </w:rPr>
  </w:style>
  <w:style w:type="character" w:customStyle="1" w:styleId="124">
    <w:name w:val="Char Char2"/>
    <w:qFormat/>
    <w:uiPriority w:val="0"/>
    <w:rPr>
      <w:rFonts w:ascii="宋体" w:hAnsi="宋体" w:cs="宋体"/>
      <w:sz w:val="24"/>
      <w:szCs w:val="24"/>
    </w:rPr>
  </w:style>
  <w:style w:type="character" w:customStyle="1" w:styleId="125">
    <w:name w:val="图名 Char"/>
    <w:link w:val="126"/>
    <w:qFormat/>
    <w:uiPriority w:val="0"/>
    <w:rPr>
      <w:rFonts w:eastAsia="黑体"/>
      <w:kern w:val="2"/>
      <w:sz w:val="24"/>
      <w:szCs w:val="24"/>
    </w:rPr>
  </w:style>
  <w:style w:type="paragraph" w:customStyle="1" w:styleId="126">
    <w:name w:val="图名"/>
    <w:basedOn w:val="1"/>
    <w:link w:val="125"/>
    <w:qFormat/>
    <w:uiPriority w:val="0"/>
    <w:pPr>
      <w:widowControl w:val="0"/>
      <w:spacing w:beforeLines="50" w:line="360" w:lineRule="auto"/>
      <w:jc w:val="center"/>
    </w:pPr>
    <w:rPr>
      <w:rFonts w:eastAsia="黑体"/>
      <w:kern w:val="2"/>
      <w:szCs w:val="24"/>
    </w:rPr>
  </w:style>
  <w:style w:type="character" w:customStyle="1" w:styleId="127">
    <w:name w:val="text"/>
    <w:semiHidden/>
    <w:qFormat/>
    <w:uiPriority w:val="0"/>
  </w:style>
  <w:style w:type="character" w:customStyle="1" w:styleId="128">
    <w:name w:val="Item List in Table Char Char"/>
    <w:link w:val="129"/>
    <w:qFormat/>
    <w:uiPriority w:val="0"/>
    <w:rPr>
      <w:rFonts w:ascii="Arial" w:hAnsi="Arial"/>
      <w:sz w:val="18"/>
      <w:szCs w:val="18"/>
      <w:lang w:val="en-US" w:eastAsia="zh-CN" w:bidi="ar-SA"/>
    </w:rPr>
  </w:style>
  <w:style w:type="paragraph" w:customStyle="1" w:styleId="129">
    <w:name w:val="Item List in Table"/>
    <w:link w:val="128"/>
    <w:qFormat/>
    <w:uiPriority w:val="0"/>
    <w:pPr>
      <w:numPr>
        <w:ilvl w:val="0"/>
        <w:numId w:val="1"/>
      </w:numPr>
      <w:spacing w:before="40" w:after="40"/>
      <w:jc w:val="both"/>
    </w:pPr>
    <w:rPr>
      <w:rFonts w:ascii="Arial" w:hAnsi="Arial" w:eastAsia="宋体" w:cs="Times New Roman"/>
      <w:sz w:val="18"/>
      <w:szCs w:val="18"/>
      <w:lang w:val="en-US" w:eastAsia="zh-CN" w:bidi="ar-SA"/>
    </w:rPr>
  </w:style>
  <w:style w:type="character" w:customStyle="1" w:styleId="130">
    <w:name w:val="无间隔 字符"/>
    <w:link w:val="131"/>
    <w:qFormat/>
    <w:uiPriority w:val="1"/>
    <w:rPr>
      <w:rFonts w:ascii="Calibri" w:hAnsi="Calibri"/>
      <w:kern w:val="2"/>
      <w:sz w:val="21"/>
      <w:szCs w:val="22"/>
      <w:lang w:val="en-US" w:eastAsia="zh-CN" w:bidi="ar-SA"/>
    </w:rPr>
  </w:style>
  <w:style w:type="paragraph" w:styleId="131">
    <w:name w:val="No Spacing"/>
    <w:link w:val="130"/>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2">
    <w:name w:val="样式1 Char"/>
    <w:link w:val="133"/>
    <w:qFormat/>
    <w:uiPriority w:val="0"/>
    <w:rPr>
      <w:rFonts w:ascii="宋体" w:hAnsi="宋体" w:cs="宋体"/>
      <w:b/>
      <w:bCs/>
      <w:color w:val="000000"/>
      <w:szCs w:val="21"/>
    </w:rPr>
  </w:style>
  <w:style w:type="paragraph" w:customStyle="1" w:styleId="133">
    <w:name w:val="样式1"/>
    <w:basedOn w:val="5"/>
    <w:link w:val="132"/>
    <w:qFormat/>
    <w:uiPriority w:val="0"/>
    <w:pPr>
      <w:spacing w:line="240" w:lineRule="auto"/>
      <w:ind w:left="709" w:hanging="709"/>
    </w:pPr>
    <w:rPr>
      <w:rFonts w:ascii="宋体" w:hAnsi="宋体"/>
      <w:bCs/>
      <w:color w:val="000000"/>
      <w:kern w:val="0"/>
      <w:sz w:val="20"/>
      <w:szCs w:val="21"/>
    </w:rPr>
  </w:style>
  <w:style w:type="character" w:customStyle="1" w:styleId="134">
    <w:name w:val="apple-converted-space"/>
    <w:qFormat/>
    <w:uiPriority w:val="0"/>
  </w:style>
  <w:style w:type="paragraph" w:customStyle="1" w:styleId="135">
    <w:name w:val="1"/>
    <w:basedOn w:val="1"/>
    <w:qFormat/>
    <w:uiPriority w:val="0"/>
    <w:pPr>
      <w:widowControl w:val="0"/>
      <w:tabs>
        <w:tab w:val="left" w:pos="425"/>
      </w:tabs>
      <w:ind w:left="420" w:leftChars="200" w:firstLine="270" w:firstLineChars="150"/>
      <w:jc w:val="both"/>
    </w:pPr>
    <w:rPr>
      <w:kern w:val="2"/>
      <w:sz w:val="21"/>
    </w:rPr>
  </w:style>
  <w:style w:type="paragraph" w:customStyle="1" w:styleId="136">
    <w:name w:val="font10"/>
    <w:basedOn w:val="1"/>
    <w:qFormat/>
    <w:uiPriority w:val="0"/>
    <w:pPr>
      <w:spacing w:before="100" w:beforeAutospacing="1" w:after="100" w:afterAutospacing="1"/>
    </w:pPr>
    <w:rPr>
      <w:rFonts w:ascii="宋体" w:hAnsi="宋体" w:cs="宋体"/>
      <w:sz w:val="18"/>
      <w:szCs w:val="18"/>
    </w:rPr>
  </w:style>
  <w:style w:type="paragraph" w:customStyle="1" w:styleId="137">
    <w:name w:val="xl3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138">
    <w:name w:val="纯文本1"/>
    <w:basedOn w:val="1"/>
    <w:qFormat/>
    <w:uiPriority w:val="0"/>
    <w:pPr>
      <w:adjustRightInd w:val="0"/>
      <w:textAlignment w:val="baseline"/>
    </w:pPr>
    <w:rPr>
      <w:rFonts w:ascii="宋体" w:hAnsi="Courier New" w:eastAsia="楷体_GB2312"/>
      <w:sz w:val="26"/>
    </w:rPr>
  </w:style>
  <w:style w:type="paragraph" w:customStyle="1" w:styleId="139">
    <w:name w:val="Char"/>
    <w:basedOn w:val="1"/>
    <w:qFormat/>
    <w:uiPriority w:val="0"/>
    <w:pPr>
      <w:widowControl w:val="0"/>
      <w:tabs>
        <w:tab w:val="left" w:pos="360"/>
      </w:tabs>
      <w:jc w:val="both"/>
    </w:pPr>
    <w:rPr>
      <w:kern w:val="2"/>
      <w:szCs w:val="24"/>
    </w:rPr>
  </w:style>
  <w:style w:type="paragraph" w:customStyle="1" w:styleId="140">
    <w:name w:val="font13"/>
    <w:basedOn w:val="1"/>
    <w:qFormat/>
    <w:uiPriority w:val="0"/>
    <w:pPr>
      <w:spacing w:before="100" w:beforeAutospacing="1" w:after="100" w:afterAutospacing="1"/>
    </w:pPr>
    <w:rPr>
      <w:rFonts w:ascii="宋体" w:hAnsi="宋体" w:cs="宋体"/>
      <w:b/>
      <w:bCs/>
      <w:sz w:val="22"/>
      <w:szCs w:val="22"/>
    </w:rPr>
  </w:style>
  <w:style w:type="paragraph" w:customStyle="1" w:styleId="141">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b/>
      <w:bCs/>
      <w:sz w:val="22"/>
      <w:szCs w:val="22"/>
    </w:rPr>
  </w:style>
  <w:style w:type="paragraph" w:customStyle="1" w:styleId="142">
    <w:name w:val="Char Char Char Char Char Char"/>
    <w:basedOn w:val="16"/>
    <w:qFormat/>
    <w:uiPriority w:val="0"/>
    <w:pPr>
      <w:widowControl w:val="0"/>
      <w:adjustRightInd w:val="0"/>
      <w:snapToGrid w:val="0"/>
      <w:spacing w:line="360" w:lineRule="auto"/>
      <w:jc w:val="both"/>
    </w:pPr>
    <w:rPr>
      <w:rFonts w:ascii="Tahoma" w:hAnsi="Tahoma"/>
      <w:kern w:val="2"/>
    </w:rPr>
  </w:style>
  <w:style w:type="paragraph" w:customStyle="1" w:styleId="143">
    <w:name w:val="xl97"/>
    <w:basedOn w:val="1"/>
    <w:qFormat/>
    <w:uiPriority w:val="0"/>
    <w:pPr>
      <w:spacing w:before="100" w:beforeAutospacing="1" w:after="100" w:afterAutospacing="1"/>
      <w:textAlignment w:val="bottom"/>
    </w:pPr>
    <w:rPr>
      <w:b/>
      <w:bCs/>
      <w:sz w:val="22"/>
      <w:szCs w:val="22"/>
    </w:rPr>
  </w:style>
  <w:style w:type="paragraph" w:customStyle="1" w:styleId="144">
    <w:name w:val="xl4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黑体" w:eastAsia="黑体" w:cs="宋体"/>
      <w:szCs w:val="24"/>
    </w:rPr>
  </w:style>
  <w:style w:type="paragraph" w:customStyle="1" w:styleId="145">
    <w:name w:val="xl66"/>
    <w:basedOn w:val="1"/>
    <w:qFormat/>
    <w:uiPriority w:val="0"/>
    <w:pPr>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仿宋_GB2312" w:hAnsi="宋体" w:eastAsia="仿宋_GB2312" w:cs="宋体"/>
      <w:sz w:val="20"/>
    </w:rPr>
  </w:style>
  <w:style w:type="paragraph" w:customStyle="1" w:styleId="146">
    <w:name w:val="NRSection"/>
    <w:basedOn w:val="1"/>
    <w:qFormat/>
    <w:uiPriority w:val="0"/>
    <w:pPr>
      <w:outlineLvl w:val="4"/>
    </w:pPr>
    <w:rPr>
      <w:b/>
    </w:rPr>
  </w:style>
  <w:style w:type="paragraph" w:customStyle="1" w:styleId="147">
    <w:name w:val="xl94"/>
    <w:basedOn w:val="1"/>
    <w:qFormat/>
    <w:uiPriority w:val="0"/>
    <w:pPr>
      <w:spacing w:before="100" w:beforeAutospacing="1" w:after="100" w:afterAutospacing="1"/>
    </w:pPr>
    <w:rPr>
      <w:rFonts w:ascii="宋体" w:hAnsi="宋体" w:cs="宋体"/>
      <w:b/>
      <w:bCs/>
      <w:sz w:val="22"/>
      <w:szCs w:val="22"/>
    </w:rPr>
  </w:style>
  <w:style w:type="paragraph" w:customStyle="1" w:styleId="148">
    <w:name w:val="xl4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Cs w:val="24"/>
    </w:rPr>
  </w:style>
  <w:style w:type="paragraph" w:customStyle="1" w:styleId="149">
    <w:name w:val="标题2"/>
    <w:basedOn w:val="4"/>
    <w:qFormat/>
    <w:uiPriority w:val="0"/>
    <w:pPr>
      <w:widowControl w:val="0"/>
      <w:spacing w:line="413" w:lineRule="auto"/>
      <w:jc w:val="both"/>
    </w:pPr>
    <w:rPr>
      <w:kern w:val="2"/>
    </w:rPr>
  </w:style>
  <w:style w:type="paragraph" w:customStyle="1" w:styleId="15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151">
    <w:name w:val="图"/>
    <w:basedOn w:val="1"/>
    <w:qFormat/>
    <w:uiPriority w:val="0"/>
    <w:pPr>
      <w:keepNext/>
      <w:widowControl w:val="0"/>
      <w:adjustRightInd w:val="0"/>
      <w:spacing w:before="60" w:after="60" w:line="300" w:lineRule="auto"/>
      <w:jc w:val="center"/>
      <w:textAlignment w:val="center"/>
    </w:pPr>
    <w:rPr>
      <w:snapToGrid w:val="0"/>
      <w:spacing w:val="20"/>
    </w:rPr>
  </w:style>
  <w:style w:type="paragraph" w:customStyle="1" w:styleId="152">
    <w:name w:val="xl4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153">
    <w:name w:val="xl3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333333"/>
      <w:szCs w:val="24"/>
    </w:rPr>
  </w:style>
  <w:style w:type="paragraph" w:customStyle="1" w:styleId="154">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155">
    <w:name w:val="xl31"/>
    <w:basedOn w:val="1"/>
    <w:qFormat/>
    <w:uiPriority w:val="0"/>
    <w:pPr>
      <w:pBdr>
        <w:bottom w:val="single" w:color="auto" w:sz="4" w:space="0"/>
        <w:right w:val="single" w:color="auto" w:sz="4" w:space="0"/>
      </w:pBdr>
      <w:spacing w:before="100" w:beforeAutospacing="1" w:after="100" w:afterAutospacing="1"/>
      <w:jc w:val="center"/>
    </w:pPr>
    <w:rPr>
      <w:rFonts w:ascii="宋体" w:hAnsi="宋体"/>
      <w:sz w:val="21"/>
    </w:rPr>
  </w:style>
  <w:style w:type="paragraph" w:customStyle="1" w:styleId="156">
    <w:name w:val="xl78"/>
    <w:basedOn w:val="1"/>
    <w:qFormat/>
    <w:uiPriority w:val="0"/>
    <w:pPr>
      <w:pBdr>
        <w:top w:val="single" w:color="auto" w:sz="4" w:space="0"/>
        <w:left w:val="single" w:color="auto" w:sz="4" w:space="0"/>
        <w:right w:val="single" w:color="auto" w:sz="4" w:space="0"/>
      </w:pBdr>
      <w:spacing w:beforeAutospacing="1" w:after="100" w:afterAutospacing="1"/>
      <w:jc w:val="center"/>
      <w:textAlignment w:val="bottom"/>
    </w:pPr>
    <w:rPr>
      <w:rFonts w:ascii="宋体" w:hAnsi="宋体" w:cs="宋体"/>
      <w:szCs w:val="24"/>
    </w:rPr>
  </w:style>
  <w:style w:type="paragraph" w:customStyle="1" w:styleId="15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15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159">
    <w:name w:val="_Style 12"/>
    <w:basedOn w:val="16"/>
    <w:qFormat/>
    <w:uiPriority w:val="0"/>
    <w:pPr>
      <w:widowControl w:val="0"/>
      <w:adjustRightInd w:val="0"/>
      <w:snapToGrid w:val="0"/>
      <w:spacing w:line="360" w:lineRule="auto"/>
      <w:jc w:val="both"/>
    </w:pPr>
    <w:rPr>
      <w:kern w:val="2"/>
      <w:sz w:val="21"/>
      <w:szCs w:val="24"/>
    </w:rPr>
  </w:style>
  <w:style w:type="paragraph" w:customStyle="1" w:styleId="160">
    <w:name w:val="文档正文"/>
    <w:basedOn w:val="1"/>
    <w:qFormat/>
    <w:uiPriority w:val="0"/>
    <w:pPr>
      <w:widowControl w:val="0"/>
      <w:adjustRightInd w:val="0"/>
      <w:spacing w:line="480" w:lineRule="atLeast"/>
      <w:ind w:firstLine="567"/>
      <w:jc w:val="both"/>
      <w:textAlignment w:val="baseline"/>
    </w:pPr>
    <w:rPr>
      <w:rFonts w:ascii="仿宋_GB2312" w:eastAsia="仿宋_GB2312"/>
      <w:kern w:val="2"/>
      <w:sz w:val="28"/>
    </w:rPr>
  </w:style>
  <w:style w:type="paragraph" w:customStyle="1" w:styleId="161">
    <w:name w:val="技术报告正文"/>
    <w:qFormat/>
    <w:uiPriority w:val="0"/>
    <w:pPr>
      <w:adjustRightInd w:val="0"/>
      <w:snapToGrid w:val="0"/>
      <w:spacing w:line="400" w:lineRule="exact"/>
      <w:ind w:firstLine="480" w:firstLineChars="200"/>
      <w:jc w:val="both"/>
    </w:pPr>
    <w:rPr>
      <w:rFonts w:ascii="Times New Roman" w:hAnsi="Times New Roman" w:eastAsia="宋体" w:cs="Arial"/>
      <w:kern w:val="2"/>
      <w:sz w:val="24"/>
      <w:szCs w:val="24"/>
      <w:lang w:val="en-US" w:eastAsia="zh-CN" w:bidi="ar-SA"/>
    </w:rPr>
  </w:style>
  <w:style w:type="paragraph" w:customStyle="1" w:styleId="162">
    <w:name w:val="列表内容"/>
    <w:basedOn w:val="1"/>
    <w:next w:val="1"/>
    <w:semiHidden/>
    <w:qFormat/>
    <w:uiPriority w:val="0"/>
    <w:pPr>
      <w:numPr>
        <w:ilvl w:val="0"/>
        <w:numId w:val="2"/>
      </w:numPr>
    </w:pPr>
    <w:rPr>
      <w:sz w:val="18"/>
      <w:szCs w:val="24"/>
    </w:rPr>
  </w:style>
  <w:style w:type="paragraph" w:customStyle="1" w:styleId="163">
    <w:name w:val="xl81"/>
    <w:basedOn w:val="1"/>
    <w:qFormat/>
    <w:uiPriority w:val="0"/>
    <w:pPr>
      <w:pBdr>
        <w:top w:val="single" w:color="auto" w:sz="4" w:space="0"/>
        <w:bottom w:val="single" w:color="auto" w:sz="4" w:space="0"/>
      </w:pBdr>
      <w:spacing w:beforeAutospacing="1" w:after="100" w:afterAutospacing="1"/>
      <w:jc w:val="center"/>
    </w:pPr>
    <w:rPr>
      <w:rFonts w:ascii="宋体" w:hAnsi="宋体" w:cs="宋体"/>
      <w:szCs w:val="24"/>
    </w:rPr>
  </w:style>
  <w:style w:type="paragraph" w:customStyle="1" w:styleId="164">
    <w:name w:val="Char2"/>
    <w:basedOn w:val="1"/>
    <w:qFormat/>
    <w:uiPriority w:val="0"/>
    <w:pPr>
      <w:spacing w:after="160" w:line="240" w:lineRule="exact"/>
    </w:pPr>
    <w:rPr>
      <w:rFonts w:ascii="Verdana" w:hAnsi="Verdana"/>
      <w:sz w:val="21"/>
      <w:lang w:eastAsia="en-US"/>
    </w:rPr>
  </w:style>
  <w:style w:type="paragraph" w:customStyle="1" w:styleId="165">
    <w:name w:val="Char11"/>
    <w:basedOn w:val="1"/>
    <w:qFormat/>
    <w:uiPriority w:val="0"/>
    <w:pPr>
      <w:widowControl w:val="0"/>
      <w:tabs>
        <w:tab w:val="left" w:pos="840"/>
      </w:tabs>
      <w:ind w:left="840" w:hanging="420"/>
      <w:jc w:val="both"/>
    </w:pPr>
    <w:rPr>
      <w:kern w:val="2"/>
      <w:szCs w:val="24"/>
    </w:rPr>
  </w:style>
  <w:style w:type="paragraph" w:customStyle="1" w:styleId="166">
    <w:name w:val="xl35"/>
    <w:basedOn w:val="1"/>
    <w:qFormat/>
    <w:uiPriority w:val="0"/>
    <w:pPr>
      <w:spacing w:before="100" w:beforeAutospacing="1" w:after="100" w:afterAutospacing="1"/>
      <w:jc w:val="right"/>
      <w:textAlignment w:val="center"/>
    </w:pPr>
    <w:rPr>
      <w:rFonts w:ascii="宋体" w:hAnsi="宋体"/>
      <w:sz w:val="18"/>
    </w:rPr>
  </w:style>
  <w:style w:type="paragraph" w:customStyle="1" w:styleId="167">
    <w:name w:val="Char Char1 Char Char Char Char Char Char Char"/>
    <w:basedOn w:val="1"/>
    <w:qFormat/>
    <w:uiPriority w:val="0"/>
    <w:pPr>
      <w:widowControl w:val="0"/>
      <w:jc w:val="both"/>
    </w:pPr>
    <w:rPr>
      <w:kern w:val="2"/>
      <w:sz w:val="21"/>
    </w:rPr>
  </w:style>
  <w:style w:type="paragraph" w:customStyle="1" w:styleId="168">
    <w:name w:val="纯文本11"/>
    <w:basedOn w:val="1"/>
    <w:qFormat/>
    <w:uiPriority w:val="0"/>
    <w:pPr>
      <w:adjustRightInd w:val="0"/>
    </w:pPr>
    <w:rPr>
      <w:rFonts w:ascii="宋体" w:hAnsi="Courier New" w:eastAsia="楷体_GB2312"/>
      <w:sz w:val="26"/>
    </w:rPr>
  </w:style>
  <w:style w:type="paragraph" w:customStyle="1" w:styleId="169">
    <w:name w:val="font9"/>
    <w:basedOn w:val="1"/>
    <w:qFormat/>
    <w:uiPriority w:val="0"/>
    <w:pPr>
      <w:spacing w:before="100" w:beforeAutospacing="1" w:after="100" w:afterAutospacing="1"/>
    </w:pPr>
    <w:rPr>
      <w:rFonts w:ascii="宋体" w:hAnsi="宋体" w:cs="宋体"/>
      <w:sz w:val="22"/>
      <w:szCs w:val="22"/>
    </w:rPr>
  </w:style>
  <w:style w:type="paragraph" w:customStyle="1" w:styleId="170">
    <w:name w:val="xl2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171">
    <w:name w:val="默认段落字体 Para Char Char Char Char Char Char Char"/>
    <w:basedOn w:val="1"/>
    <w:semiHidden/>
    <w:qFormat/>
    <w:uiPriority w:val="0"/>
    <w:pPr>
      <w:widowControl w:val="0"/>
      <w:jc w:val="both"/>
    </w:pPr>
    <w:rPr>
      <w:rFonts w:ascii="Tahoma" w:hAnsi="Tahoma"/>
      <w:kern w:val="2"/>
    </w:rPr>
  </w:style>
  <w:style w:type="paragraph" w:customStyle="1" w:styleId="172">
    <w:name w:val="Char Char Char Char"/>
    <w:basedOn w:val="16"/>
    <w:qFormat/>
    <w:uiPriority w:val="0"/>
    <w:pPr>
      <w:widowControl w:val="0"/>
      <w:adjustRightInd w:val="0"/>
      <w:snapToGrid w:val="0"/>
      <w:spacing w:line="360" w:lineRule="auto"/>
      <w:jc w:val="both"/>
    </w:pPr>
    <w:rPr>
      <w:rFonts w:ascii="Tahoma" w:hAnsi="Tahoma"/>
      <w:kern w:val="2"/>
      <w:szCs w:val="24"/>
    </w:rPr>
  </w:style>
  <w:style w:type="paragraph" w:customStyle="1" w:styleId="1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rPr>
  </w:style>
  <w:style w:type="paragraph" w:customStyle="1" w:styleId="174">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b/>
      <w:bCs/>
      <w:sz w:val="22"/>
      <w:szCs w:val="22"/>
    </w:rPr>
  </w:style>
  <w:style w:type="paragraph" w:customStyle="1" w:styleId="175">
    <w:name w:val="xl4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Cs w:val="24"/>
    </w:rPr>
  </w:style>
  <w:style w:type="paragraph" w:customStyle="1" w:styleId="176">
    <w:name w:val="H-TextFormat"/>
    <w:qFormat/>
    <w:uiPriority w:val="0"/>
    <w:rPr>
      <w:rFonts w:ascii="Arial" w:hAnsi="Arial" w:eastAsia="宋体" w:cs="Times New Roman"/>
      <w:sz w:val="22"/>
      <w:lang w:val="en-GB" w:eastAsia="en-US" w:bidi="ar-SA"/>
    </w:rPr>
  </w:style>
  <w:style w:type="paragraph" w:customStyle="1" w:styleId="17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sz w:val="22"/>
      <w:szCs w:val="22"/>
    </w:rPr>
  </w:style>
  <w:style w:type="paragraph" w:customStyle="1" w:styleId="178">
    <w:name w:val="xl4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szCs w:val="24"/>
    </w:rPr>
  </w:style>
  <w:style w:type="paragraph" w:customStyle="1" w:styleId="179">
    <w:name w:val="Char1"/>
    <w:basedOn w:val="1"/>
    <w:qFormat/>
    <w:uiPriority w:val="0"/>
    <w:pPr>
      <w:widowControl w:val="0"/>
      <w:tabs>
        <w:tab w:val="left" w:pos="360"/>
      </w:tabs>
      <w:ind w:left="360" w:hanging="360"/>
      <w:jc w:val="both"/>
    </w:pPr>
    <w:rPr>
      <w:kern w:val="2"/>
    </w:rPr>
  </w:style>
  <w:style w:type="paragraph" w:customStyle="1" w:styleId="180">
    <w:name w:val="列项——（一级）"/>
    <w:semiHidden/>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181">
    <w:name w:val="xl2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Cs w:val="24"/>
    </w:rPr>
  </w:style>
  <w:style w:type="paragraph" w:customStyle="1" w:styleId="182">
    <w:name w:val="表格标题"/>
    <w:basedOn w:val="1"/>
    <w:qFormat/>
    <w:uiPriority w:val="0"/>
    <w:pPr>
      <w:widowControl w:val="0"/>
      <w:jc w:val="center"/>
    </w:pPr>
    <w:rPr>
      <w:rFonts w:ascii="宋体" w:hAnsi="宋体" w:cs="宋体"/>
      <w:b/>
      <w:bCs/>
      <w:color w:val="000000"/>
      <w:sz w:val="22"/>
    </w:rPr>
  </w:style>
  <w:style w:type="paragraph" w:customStyle="1" w:styleId="183">
    <w:name w:val="Char1 Char Char Char"/>
    <w:basedOn w:val="1"/>
    <w:qFormat/>
    <w:uiPriority w:val="0"/>
    <w:pPr>
      <w:widowControl w:val="0"/>
      <w:jc w:val="both"/>
    </w:pPr>
    <w:rPr>
      <w:kern w:val="2"/>
      <w:sz w:val="21"/>
      <w:szCs w:val="24"/>
    </w:rPr>
  </w:style>
  <w:style w:type="paragraph" w:customStyle="1" w:styleId="184">
    <w:name w:val="Char12"/>
    <w:basedOn w:val="1"/>
    <w:qFormat/>
    <w:uiPriority w:val="0"/>
    <w:pPr>
      <w:spacing w:after="160" w:line="240" w:lineRule="exact"/>
    </w:pPr>
    <w:rPr>
      <w:rFonts w:ascii="Verdana" w:hAnsi="Verdana"/>
      <w:sz w:val="21"/>
      <w:lang w:eastAsia="en-US"/>
    </w:rPr>
  </w:style>
  <w:style w:type="paragraph" w:customStyle="1" w:styleId="185">
    <w:name w:val="font5"/>
    <w:basedOn w:val="1"/>
    <w:qFormat/>
    <w:uiPriority w:val="0"/>
    <w:pPr>
      <w:spacing w:before="100" w:beforeAutospacing="1" w:after="100" w:afterAutospacing="1"/>
    </w:pPr>
    <w:rPr>
      <w:rFonts w:hint="eastAsia" w:ascii="宋体" w:hAnsi="宋体"/>
      <w:sz w:val="18"/>
    </w:rPr>
  </w:style>
  <w:style w:type="paragraph" w:customStyle="1" w:styleId="186">
    <w:name w:val="_Style 26"/>
    <w:basedOn w:val="16"/>
    <w:qFormat/>
    <w:uiPriority w:val="0"/>
    <w:pPr>
      <w:widowControl w:val="0"/>
      <w:adjustRightInd w:val="0"/>
      <w:snapToGrid w:val="0"/>
      <w:spacing w:line="360" w:lineRule="auto"/>
      <w:jc w:val="both"/>
    </w:pPr>
    <w:rPr>
      <w:rFonts w:ascii="Calibri" w:hAnsi="Calibri"/>
      <w:kern w:val="2"/>
      <w:sz w:val="21"/>
      <w:szCs w:val="24"/>
    </w:rPr>
  </w:style>
  <w:style w:type="paragraph" w:customStyle="1" w:styleId="187">
    <w:name w:val="xl3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333333"/>
      <w:szCs w:val="24"/>
    </w:rPr>
  </w:style>
  <w:style w:type="paragraph" w:customStyle="1" w:styleId="188">
    <w:name w:val="正文（缩进）"/>
    <w:basedOn w:val="1"/>
    <w:qFormat/>
    <w:uiPriority w:val="0"/>
    <w:pPr>
      <w:widowControl w:val="0"/>
      <w:spacing w:beforeLines="50" w:afterLines="50" w:line="360" w:lineRule="auto"/>
      <w:ind w:firstLine="480" w:firstLineChars="200"/>
      <w:jc w:val="both"/>
    </w:pPr>
    <w:rPr>
      <w:kern w:val="2"/>
      <w:szCs w:val="24"/>
    </w:rPr>
  </w:style>
  <w:style w:type="paragraph" w:customStyle="1" w:styleId="189">
    <w:name w:val="my正文"/>
    <w:basedOn w:val="1"/>
    <w:qFormat/>
    <w:uiPriority w:val="0"/>
    <w:pPr>
      <w:widowControl w:val="0"/>
      <w:spacing w:line="360" w:lineRule="auto"/>
      <w:ind w:firstLine="480" w:firstLineChars="200"/>
      <w:jc w:val="both"/>
    </w:pPr>
    <w:rPr>
      <w:kern w:val="2"/>
      <w:szCs w:val="24"/>
    </w:rPr>
  </w:style>
  <w:style w:type="paragraph" w:customStyle="1" w:styleId="190">
    <w:name w:val="Char Char Char1 Char Char Char Char1"/>
    <w:basedOn w:val="1"/>
    <w:qFormat/>
    <w:uiPriority w:val="0"/>
    <w:pPr>
      <w:spacing w:after="160" w:line="240" w:lineRule="exact"/>
    </w:pPr>
    <w:rPr>
      <w:szCs w:val="24"/>
    </w:rPr>
  </w:style>
  <w:style w:type="paragraph" w:customStyle="1" w:styleId="191">
    <w:name w:val="font12"/>
    <w:basedOn w:val="1"/>
    <w:qFormat/>
    <w:uiPriority w:val="0"/>
    <w:pPr>
      <w:spacing w:before="100" w:beforeAutospacing="1" w:after="100" w:afterAutospacing="1"/>
    </w:pPr>
    <w:rPr>
      <w:rFonts w:ascii="宋体" w:hAnsi="宋体" w:cs="宋体"/>
      <w:sz w:val="22"/>
      <w:szCs w:val="22"/>
    </w:rPr>
  </w:style>
  <w:style w:type="paragraph" w:customStyle="1" w:styleId="192">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2"/>
      <w:szCs w:val="22"/>
    </w:rPr>
  </w:style>
  <w:style w:type="paragraph" w:customStyle="1" w:styleId="193">
    <w:name w:val="Char Char1"/>
    <w:basedOn w:val="1"/>
    <w:qFormat/>
    <w:uiPriority w:val="0"/>
    <w:pPr>
      <w:spacing w:after="160" w:line="240" w:lineRule="exact"/>
    </w:pPr>
    <w:rPr>
      <w:rFonts w:ascii="Verdana" w:hAnsi="Verdana"/>
      <w:sz w:val="20"/>
      <w:lang w:eastAsia="en-US"/>
    </w:rPr>
  </w:style>
  <w:style w:type="paragraph" w:customStyle="1" w:styleId="194">
    <w:name w:val="中等深浅网格 1 - 强调文字颜色 21"/>
    <w:basedOn w:val="1"/>
    <w:qFormat/>
    <w:uiPriority w:val="0"/>
    <w:pPr>
      <w:widowControl w:val="0"/>
      <w:spacing w:line="500" w:lineRule="exact"/>
      <w:ind w:firstLine="420" w:firstLineChars="200"/>
      <w:jc w:val="both"/>
    </w:pPr>
    <w:rPr>
      <w:sz w:val="21"/>
      <w:szCs w:val="24"/>
    </w:rPr>
  </w:style>
  <w:style w:type="paragraph" w:customStyle="1" w:styleId="195">
    <w:name w:val="Char Char Char Char Char Char Char1"/>
    <w:basedOn w:val="1"/>
    <w:qFormat/>
    <w:uiPriority w:val="0"/>
    <w:pPr>
      <w:spacing w:after="160" w:line="240" w:lineRule="exact"/>
    </w:pPr>
    <w:rPr>
      <w:rFonts w:ascii="Verdana" w:hAnsi="Verdana"/>
      <w:sz w:val="20"/>
      <w:lang w:eastAsia="en-US"/>
    </w:rPr>
  </w:style>
  <w:style w:type="paragraph" w:customStyle="1" w:styleId="196">
    <w:name w:val="font11"/>
    <w:basedOn w:val="1"/>
    <w:qFormat/>
    <w:uiPriority w:val="0"/>
    <w:pPr>
      <w:spacing w:before="100" w:beforeAutospacing="1" w:after="100" w:afterAutospacing="1"/>
    </w:pPr>
    <w:rPr>
      <w:rFonts w:ascii="宋体" w:hAnsi="宋体" w:cs="宋体"/>
      <w:sz w:val="22"/>
      <w:szCs w:val="22"/>
    </w:rPr>
  </w:style>
  <w:style w:type="paragraph" w:customStyle="1" w:styleId="197">
    <w:name w:val="正文3"/>
    <w:basedOn w:val="1"/>
    <w:qFormat/>
    <w:uiPriority w:val="0"/>
    <w:pPr>
      <w:widowControl w:val="0"/>
      <w:spacing w:line="360" w:lineRule="auto"/>
      <w:jc w:val="both"/>
    </w:pPr>
    <w:rPr>
      <w:rFonts w:ascii="宋体" w:hAnsi="宋体"/>
      <w:kern w:val="2"/>
      <w:sz w:val="21"/>
      <w:szCs w:val="24"/>
    </w:rPr>
  </w:style>
  <w:style w:type="paragraph" w:customStyle="1" w:styleId="198">
    <w:name w:val="Char Char Char Char Char Char Char Char Char Char"/>
    <w:basedOn w:val="1"/>
    <w:qFormat/>
    <w:uiPriority w:val="0"/>
    <w:pPr>
      <w:widowControl w:val="0"/>
      <w:numPr>
        <w:ilvl w:val="0"/>
        <w:numId w:val="4"/>
      </w:numPr>
      <w:jc w:val="both"/>
    </w:pPr>
    <w:rPr>
      <w:kern w:val="2"/>
      <w:szCs w:val="24"/>
    </w:rPr>
  </w:style>
  <w:style w:type="paragraph" w:customStyle="1" w:styleId="199">
    <w:name w:val="表名"/>
    <w:basedOn w:val="1"/>
    <w:qFormat/>
    <w:uiPriority w:val="0"/>
    <w:pPr>
      <w:widowControl w:val="0"/>
      <w:spacing w:before="120"/>
      <w:jc w:val="center"/>
    </w:pPr>
    <w:rPr>
      <w:rFonts w:cs="宋体"/>
      <w:b/>
      <w:bCs/>
      <w:kern w:val="2"/>
      <w:sz w:val="21"/>
    </w:rPr>
  </w:style>
  <w:style w:type="paragraph" w:customStyle="1" w:styleId="200">
    <w:name w:val="纯文本3"/>
    <w:basedOn w:val="1"/>
    <w:qFormat/>
    <w:uiPriority w:val="0"/>
    <w:pPr>
      <w:widowControl w:val="0"/>
      <w:adjustRightInd w:val="0"/>
      <w:jc w:val="both"/>
      <w:textAlignment w:val="baseline"/>
    </w:pPr>
    <w:rPr>
      <w:rFonts w:ascii="宋体" w:hAnsi="宋体" w:eastAsia="楷体_GB2312"/>
      <w:kern w:val="2"/>
      <w:sz w:val="28"/>
      <w:szCs w:val="22"/>
    </w:rPr>
  </w:style>
  <w:style w:type="paragraph" w:customStyle="1" w:styleId="201">
    <w:name w:val="Char Char Char1 Char Char Char Char"/>
    <w:basedOn w:val="1"/>
    <w:qFormat/>
    <w:uiPriority w:val="0"/>
    <w:pPr>
      <w:spacing w:after="160" w:line="240" w:lineRule="exact"/>
    </w:pPr>
  </w:style>
  <w:style w:type="paragraph" w:customStyle="1" w:styleId="202">
    <w:name w:val="xl2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203">
    <w:name w:val="Char Char Char Char Char Char Char Char Char1 Char"/>
    <w:basedOn w:val="16"/>
    <w:qFormat/>
    <w:uiPriority w:val="0"/>
    <w:pPr>
      <w:widowControl w:val="0"/>
      <w:adjustRightInd w:val="0"/>
      <w:snapToGrid w:val="0"/>
      <w:spacing w:line="360" w:lineRule="auto"/>
      <w:jc w:val="both"/>
    </w:pPr>
    <w:rPr>
      <w:rFonts w:eastAsia="楷体_GB2312"/>
      <w:kern w:val="2"/>
      <w:sz w:val="28"/>
    </w:rPr>
  </w:style>
  <w:style w:type="paragraph" w:customStyle="1" w:styleId="204">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sz w:val="20"/>
    </w:rPr>
  </w:style>
  <w:style w:type="paragraph" w:customStyle="1" w:styleId="205">
    <w:name w:val="标书正文"/>
    <w:basedOn w:val="21"/>
    <w:qFormat/>
    <w:uiPriority w:val="0"/>
    <w:pPr>
      <w:spacing w:beforeLines="50" w:afterLines="50" w:line="400" w:lineRule="exact"/>
      <w:ind w:firstLine="200" w:firstLineChars="200"/>
      <w:jc w:val="both"/>
    </w:pPr>
    <w:rPr>
      <w:rFonts w:ascii="黑体"/>
    </w:rPr>
  </w:style>
  <w:style w:type="paragraph" w:customStyle="1" w:styleId="20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sz w:val="22"/>
      <w:szCs w:val="22"/>
    </w:rPr>
  </w:style>
  <w:style w:type="paragraph" w:customStyle="1" w:styleId="207">
    <w:name w:val="xl3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208">
    <w:name w:val="默认段落字体 Para Char Char Char Char Char Char Char Char Char1 Char Char Char Char"/>
    <w:basedOn w:val="1"/>
    <w:qFormat/>
    <w:uiPriority w:val="0"/>
    <w:pPr>
      <w:widowControl w:val="0"/>
      <w:jc w:val="both"/>
    </w:pPr>
    <w:rPr>
      <w:rFonts w:ascii="Tahoma" w:hAnsi="Tahoma"/>
      <w:kern w:val="2"/>
    </w:rPr>
  </w:style>
  <w:style w:type="paragraph" w:customStyle="1" w:styleId="209">
    <w:name w:val="财政-标题一"/>
    <w:basedOn w:val="1"/>
    <w:qFormat/>
    <w:uiPriority w:val="0"/>
    <w:pPr>
      <w:widowControl w:val="0"/>
      <w:numPr>
        <w:ilvl w:val="0"/>
        <w:numId w:val="5"/>
      </w:numPr>
      <w:spacing w:beforeLines="50" w:afterLines="50"/>
      <w:jc w:val="both"/>
      <w:outlineLvl w:val="0"/>
    </w:pPr>
    <w:rPr>
      <w:rFonts w:ascii="Calibri" w:hAnsi="Calibri" w:eastAsia="华文中宋"/>
      <w:b/>
      <w:kern w:val="2"/>
      <w:sz w:val="44"/>
      <w:szCs w:val="21"/>
    </w:rPr>
  </w:style>
  <w:style w:type="paragraph" w:customStyle="1" w:styleId="210">
    <w:name w:val="xl3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333333"/>
      <w:szCs w:val="24"/>
    </w:rPr>
  </w:style>
  <w:style w:type="paragraph" w:customStyle="1" w:styleId="211">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sz w:val="22"/>
      <w:szCs w:val="22"/>
    </w:rPr>
  </w:style>
  <w:style w:type="paragraph" w:customStyle="1" w:styleId="212">
    <w:name w:val="xl3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213">
    <w:name w:val="font6"/>
    <w:basedOn w:val="1"/>
    <w:qFormat/>
    <w:uiPriority w:val="0"/>
    <w:pPr>
      <w:spacing w:before="100" w:beforeAutospacing="1" w:after="100" w:afterAutospacing="1"/>
    </w:pPr>
    <w:rPr>
      <w:rFonts w:ascii="宋体" w:hAnsi="宋体" w:cs="宋体"/>
      <w:sz w:val="18"/>
      <w:szCs w:val="18"/>
    </w:rPr>
  </w:style>
  <w:style w:type="paragraph" w:customStyle="1" w:styleId="214">
    <w:name w:val="font15"/>
    <w:basedOn w:val="1"/>
    <w:qFormat/>
    <w:uiPriority w:val="0"/>
    <w:pPr>
      <w:spacing w:before="100" w:beforeAutospacing="1" w:after="100" w:afterAutospacing="1"/>
    </w:pPr>
    <w:rPr>
      <w:rFonts w:ascii="宋体" w:hAnsi="宋体" w:cs="宋体"/>
      <w:sz w:val="18"/>
      <w:szCs w:val="18"/>
    </w:rPr>
  </w:style>
  <w:style w:type="paragraph" w:customStyle="1" w:styleId="215">
    <w:name w:val="Plain Text1"/>
    <w:basedOn w:val="1"/>
    <w:qFormat/>
    <w:uiPriority w:val="0"/>
    <w:pPr>
      <w:widowControl w:val="0"/>
      <w:adjustRightInd w:val="0"/>
      <w:jc w:val="both"/>
    </w:pPr>
    <w:rPr>
      <w:rFonts w:ascii="宋体" w:hAnsi="Courier New" w:eastAsia="楷体_GB2312"/>
      <w:kern w:val="2"/>
      <w:sz w:val="28"/>
      <w:szCs w:val="22"/>
    </w:rPr>
  </w:style>
  <w:style w:type="paragraph" w:customStyle="1" w:styleId="216">
    <w:name w:val="font7"/>
    <w:basedOn w:val="1"/>
    <w:qFormat/>
    <w:uiPriority w:val="0"/>
    <w:pPr>
      <w:spacing w:before="100" w:beforeAutospacing="1" w:after="100" w:afterAutospacing="1"/>
    </w:pPr>
    <w:rPr>
      <w:rFonts w:ascii="宋体" w:hAnsi="宋体" w:cs="宋体"/>
      <w:sz w:val="20"/>
    </w:rPr>
  </w:style>
  <w:style w:type="paragraph" w:customStyle="1" w:styleId="217">
    <w:name w:val="p0"/>
    <w:basedOn w:val="1"/>
    <w:qFormat/>
    <w:uiPriority w:val="0"/>
    <w:pPr>
      <w:jc w:val="both"/>
    </w:pPr>
    <w:rPr>
      <w:rFonts w:ascii="Calibri" w:hAnsi="Calibri"/>
      <w:sz w:val="21"/>
      <w:szCs w:val="21"/>
    </w:rPr>
  </w:style>
  <w:style w:type="paragraph" w:customStyle="1" w:styleId="218">
    <w:name w:val="xl5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szCs w:val="24"/>
    </w:rPr>
  </w:style>
  <w:style w:type="paragraph" w:customStyle="1" w:styleId="219">
    <w:name w:val="reader-word-layer reader-word-s7-11"/>
    <w:basedOn w:val="1"/>
    <w:qFormat/>
    <w:uiPriority w:val="0"/>
    <w:pPr>
      <w:spacing w:before="100" w:beforeAutospacing="1" w:after="100" w:afterAutospacing="1"/>
    </w:pPr>
    <w:rPr>
      <w:rFonts w:ascii="宋体" w:hAnsi="宋体" w:cs="宋体"/>
      <w:szCs w:val="24"/>
    </w:rPr>
  </w:style>
  <w:style w:type="paragraph" w:customStyle="1" w:styleId="220">
    <w:name w:val="Char Char Char Char Char Char Char"/>
    <w:basedOn w:val="1"/>
    <w:qFormat/>
    <w:uiPriority w:val="0"/>
    <w:pPr>
      <w:spacing w:after="160" w:line="240" w:lineRule="exact"/>
    </w:pPr>
    <w:rPr>
      <w:rFonts w:ascii="Verdana" w:hAnsi="Verdana"/>
      <w:sz w:val="20"/>
      <w:lang w:eastAsia="en-US"/>
    </w:rPr>
  </w:style>
  <w:style w:type="paragraph" w:customStyle="1" w:styleId="221">
    <w:name w:val="xl73"/>
    <w:basedOn w:val="1"/>
    <w:qFormat/>
    <w:uiPriority w:val="0"/>
    <w:pPr>
      <w:spacing w:before="100" w:beforeAutospacing="1" w:after="100" w:afterAutospacing="1"/>
    </w:pPr>
    <w:rPr>
      <w:rFonts w:ascii="宋体" w:hAnsi="宋体" w:cs="宋体"/>
      <w:szCs w:val="24"/>
    </w:rPr>
  </w:style>
  <w:style w:type="paragraph" w:customStyle="1" w:styleId="22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23">
    <w:name w:val="xl2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224">
    <w:name w:val="xl69"/>
    <w:basedOn w:val="1"/>
    <w:qFormat/>
    <w:uiPriority w:val="0"/>
    <w:pPr>
      <w:spacing w:before="100" w:beforeAutospacing="1" w:after="100" w:afterAutospacing="1"/>
    </w:pPr>
    <w:rPr>
      <w:rFonts w:ascii="宋体" w:hAnsi="宋体" w:cs="宋体"/>
      <w:b/>
      <w:bCs/>
      <w:szCs w:val="24"/>
    </w:rPr>
  </w:style>
  <w:style w:type="paragraph" w:customStyle="1" w:styleId="225">
    <w:name w:val="Char Char Char Char1 Char Char"/>
    <w:basedOn w:val="1"/>
    <w:qFormat/>
    <w:uiPriority w:val="0"/>
    <w:pPr>
      <w:widowControl w:val="0"/>
      <w:jc w:val="both"/>
    </w:pPr>
    <w:rPr>
      <w:kern w:val="2"/>
      <w:sz w:val="21"/>
      <w:szCs w:val="24"/>
    </w:rPr>
  </w:style>
  <w:style w:type="paragraph" w:customStyle="1" w:styleId="226">
    <w:name w:val="xl4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227">
    <w:name w:val="±íÉí"/>
    <w:basedOn w:val="1"/>
    <w:qFormat/>
    <w:uiPriority w:val="0"/>
    <w:pPr>
      <w:overflowPunct w:val="0"/>
      <w:autoSpaceDE w:val="0"/>
      <w:autoSpaceDN w:val="0"/>
      <w:adjustRightInd w:val="0"/>
      <w:spacing w:line="300" w:lineRule="auto"/>
      <w:textAlignment w:val="baseline"/>
    </w:pPr>
    <w:rPr>
      <w:sz w:val="18"/>
    </w:rPr>
  </w:style>
  <w:style w:type="paragraph" w:customStyle="1" w:styleId="22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sz w:val="22"/>
      <w:szCs w:val="22"/>
    </w:rPr>
  </w:style>
  <w:style w:type="paragraph" w:customStyle="1" w:styleId="22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sz w:val="18"/>
      <w:szCs w:val="18"/>
    </w:rPr>
  </w:style>
  <w:style w:type="paragraph" w:customStyle="1" w:styleId="230">
    <w:name w:val="表格正文"/>
    <w:basedOn w:val="1"/>
    <w:qFormat/>
    <w:uiPriority w:val="0"/>
    <w:pPr>
      <w:widowControl w:val="0"/>
    </w:pPr>
    <w:rPr>
      <w:rFonts w:ascii="宋体" w:hAnsi="宋体" w:cs="宋体"/>
      <w:color w:val="000000"/>
      <w:sz w:val="22"/>
    </w:rPr>
  </w:style>
  <w:style w:type="paragraph" w:customStyle="1" w:styleId="23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232">
    <w:name w:val="正文111"/>
    <w:basedOn w:val="1"/>
    <w:qFormat/>
    <w:uiPriority w:val="0"/>
    <w:pPr>
      <w:widowControl w:val="0"/>
      <w:spacing w:line="360" w:lineRule="auto"/>
      <w:ind w:firstLine="480" w:firstLineChars="200"/>
      <w:jc w:val="both"/>
    </w:pPr>
    <w:rPr>
      <w:rFonts w:ascii="宋体" w:hAnsi="宋体"/>
      <w:kern w:val="2"/>
      <w:szCs w:val="24"/>
    </w:rPr>
  </w:style>
  <w:style w:type="paragraph" w:customStyle="1" w:styleId="23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23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3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6">
    <w:name w:val="xl5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宋体" w:hAnsi="宋体" w:cs="宋体"/>
      <w:b/>
      <w:bCs/>
      <w:szCs w:val="24"/>
    </w:rPr>
  </w:style>
  <w:style w:type="paragraph" w:customStyle="1" w:styleId="237">
    <w:name w:val="xl79"/>
    <w:basedOn w:val="1"/>
    <w:qFormat/>
    <w:uiPriority w:val="0"/>
    <w:pPr>
      <w:pBdr>
        <w:top w:val="single" w:color="auto" w:sz="4" w:space="0"/>
        <w:left w:val="single" w:color="auto" w:sz="4" w:space="0"/>
        <w:right w:val="single" w:color="auto" w:sz="4" w:space="0"/>
      </w:pBdr>
      <w:spacing w:beforeAutospacing="1" w:after="100" w:afterAutospacing="1"/>
    </w:pPr>
    <w:rPr>
      <w:rFonts w:ascii="宋体" w:hAnsi="宋体" w:cs="宋体"/>
      <w:szCs w:val="24"/>
    </w:rPr>
  </w:style>
  <w:style w:type="paragraph" w:customStyle="1" w:styleId="238">
    <w:name w:val="Char Char Char"/>
    <w:basedOn w:val="1"/>
    <w:qFormat/>
    <w:uiPriority w:val="0"/>
    <w:pPr>
      <w:widowControl w:val="0"/>
      <w:jc w:val="both"/>
    </w:pPr>
    <w:rPr>
      <w:rFonts w:ascii="Tahoma" w:hAnsi="Tahoma"/>
      <w:kern w:val="2"/>
    </w:rPr>
  </w:style>
  <w:style w:type="paragraph" w:customStyle="1" w:styleId="239">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40">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41">
    <w:name w:val="xl4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242">
    <w:name w:val="Char Char4 Char Char"/>
    <w:basedOn w:val="1"/>
    <w:qFormat/>
    <w:uiPriority w:val="0"/>
    <w:pPr>
      <w:widowControl w:val="0"/>
      <w:jc w:val="both"/>
    </w:pPr>
    <w:rPr>
      <w:rFonts w:ascii="Tahoma" w:hAnsi="Tahoma"/>
      <w:kern w:val="2"/>
    </w:rPr>
  </w:style>
  <w:style w:type="paragraph" w:customStyle="1" w:styleId="243">
    <w:name w:val="xl3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244">
    <w:name w:val="财政-标题二"/>
    <w:basedOn w:val="209"/>
    <w:qFormat/>
    <w:uiPriority w:val="0"/>
    <w:pPr>
      <w:numPr>
        <w:ilvl w:val="1"/>
      </w:numPr>
      <w:outlineLvl w:val="1"/>
    </w:pPr>
    <w:rPr>
      <w:sz w:val="36"/>
    </w:rPr>
  </w:style>
  <w:style w:type="paragraph" w:customStyle="1" w:styleId="245">
    <w:name w:val="xl5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246">
    <w:name w:val="xl92"/>
    <w:basedOn w:val="1"/>
    <w:qFormat/>
    <w:uiPriority w:val="0"/>
    <w:pPr>
      <w:spacing w:before="100" w:beforeAutospacing="1" w:after="100" w:afterAutospacing="1"/>
      <w:textAlignment w:val="bottom"/>
    </w:pPr>
    <w:rPr>
      <w:rFonts w:ascii="宋体" w:hAnsi="宋体" w:cs="宋体"/>
      <w:sz w:val="22"/>
      <w:szCs w:val="22"/>
    </w:rPr>
  </w:style>
  <w:style w:type="paragraph" w:customStyle="1" w:styleId="247">
    <w:name w:val="正文-带编号1)"/>
    <w:basedOn w:val="1"/>
    <w:qFormat/>
    <w:uiPriority w:val="0"/>
    <w:pPr>
      <w:widowControl w:val="0"/>
      <w:numPr>
        <w:ilvl w:val="0"/>
        <w:numId w:val="6"/>
      </w:numPr>
      <w:spacing w:line="400" w:lineRule="exact"/>
      <w:jc w:val="both"/>
    </w:pPr>
    <w:rPr>
      <w:rFonts w:ascii="Arial" w:hAnsi="Arial"/>
      <w:kern w:val="2"/>
      <w:sz w:val="21"/>
      <w:szCs w:val="24"/>
    </w:rPr>
  </w:style>
  <w:style w:type="paragraph" w:customStyle="1" w:styleId="248">
    <w:name w:val="_Style 18"/>
    <w:basedOn w:val="1"/>
    <w:qFormat/>
    <w:uiPriority w:val="0"/>
    <w:pPr>
      <w:widowControl w:val="0"/>
      <w:jc w:val="both"/>
    </w:pPr>
    <w:rPr>
      <w:kern w:val="2"/>
      <w:sz w:val="21"/>
      <w:szCs w:val="24"/>
    </w:rPr>
  </w:style>
  <w:style w:type="paragraph" w:customStyle="1" w:styleId="249">
    <w:name w:val="正文段落 Char"/>
    <w:basedOn w:val="1"/>
    <w:qFormat/>
    <w:uiPriority w:val="0"/>
    <w:pPr>
      <w:widowControl w:val="0"/>
      <w:spacing w:line="360" w:lineRule="auto"/>
      <w:ind w:firstLine="480" w:firstLineChars="200"/>
      <w:jc w:val="both"/>
    </w:pPr>
  </w:style>
  <w:style w:type="paragraph" w:customStyle="1" w:styleId="250">
    <w:name w:val="xl4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251">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52">
    <w:name w:val="xl4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2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4">
    <w:name w:val="font14"/>
    <w:basedOn w:val="1"/>
    <w:qFormat/>
    <w:uiPriority w:val="0"/>
    <w:pPr>
      <w:spacing w:before="100" w:beforeAutospacing="1" w:after="100" w:afterAutospacing="1"/>
    </w:pPr>
    <w:rPr>
      <w:rFonts w:ascii="宋体" w:hAnsi="宋体" w:cs="宋体"/>
      <w:sz w:val="18"/>
      <w:szCs w:val="18"/>
    </w:rPr>
  </w:style>
  <w:style w:type="paragraph" w:customStyle="1" w:styleId="255">
    <w:name w:val="xl80"/>
    <w:basedOn w:val="1"/>
    <w:qFormat/>
    <w:uiPriority w:val="0"/>
    <w:pPr>
      <w:pBdr>
        <w:left w:val="single" w:color="auto" w:sz="4" w:space="0"/>
        <w:bottom w:val="single" w:color="auto" w:sz="4" w:space="0"/>
        <w:right w:val="single" w:color="auto" w:sz="4" w:space="0"/>
      </w:pBdr>
      <w:spacing w:beforeAutospacing="1" w:after="100" w:afterAutospacing="1"/>
      <w:jc w:val="center"/>
    </w:pPr>
    <w:rPr>
      <w:rFonts w:ascii="宋体" w:hAnsi="宋体" w:cs="宋体"/>
      <w:szCs w:val="24"/>
    </w:rPr>
  </w:style>
  <w:style w:type="paragraph" w:customStyle="1" w:styleId="256">
    <w:name w:val="Char Char Char1 Char Char Char Char2"/>
    <w:basedOn w:val="1"/>
    <w:qFormat/>
    <w:uiPriority w:val="0"/>
    <w:pPr>
      <w:spacing w:after="160" w:line="240" w:lineRule="exact"/>
    </w:pPr>
    <w:rPr>
      <w:szCs w:val="24"/>
    </w:rPr>
  </w:style>
  <w:style w:type="paragraph" w:customStyle="1" w:styleId="257">
    <w:name w:val="font0"/>
    <w:basedOn w:val="1"/>
    <w:qFormat/>
    <w:uiPriority w:val="0"/>
    <w:pPr>
      <w:spacing w:before="100" w:beforeAutospacing="1" w:after="100" w:afterAutospacing="1"/>
    </w:pPr>
    <w:rPr>
      <w:rFonts w:ascii="宋体" w:hAnsi="宋体" w:cs="宋体"/>
      <w:szCs w:val="24"/>
    </w:rPr>
  </w:style>
  <w:style w:type="paragraph" w:customStyle="1" w:styleId="258">
    <w:name w:val="xl5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Cs w:val="24"/>
    </w:rPr>
  </w:style>
  <w:style w:type="paragraph" w:customStyle="1" w:styleId="259">
    <w:name w:val="font8"/>
    <w:basedOn w:val="1"/>
    <w:qFormat/>
    <w:uiPriority w:val="0"/>
    <w:pPr>
      <w:spacing w:before="100" w:beforeAutospacing="1" w:after="100" w:afterAutospacing="1"/>
    </w:pPr>
    <w:rPr>
      <w:rFonts w:ascii="宋体" w:hAnsi="宋体" w:cs="宋体"/>
      <w:sz w:val="22"/>
      <w:szCs w:val="22"/>
    </w:rPr>
  </w:style>
  <w:style w:type="paragraph" w:customStyle="1" w:styleId="260">
    <w:name w:val="正文4"/>
    <w:basedOn w:val="1"/>
    <w:qFormat/>
    <w:uiPriority w:val="0"/>
    <w:pPr>
      <w:widowControl w:val="0"/>
      <w:spacing w:beforeLines="50" w:line="360" w:lineRule="auto"/>
      <w:ind w:firstLine="480" w:firstLineChars="200"/>
    </w:pPr>
    <w:rPr>
      <w:kern w:val="2"/>
    </w:rPr>
  </w:style>
  <w:style w:type="paragraph" w:customStyle="1" w:styleId="261">
    <w:name w:val="列出段落1"/>
    <w:basedOn w:val="1"/>
    <w:qFormat/>
    <w:uiPriority w:val="0"/>
    <w:pPr>
      <w:widowControl w:val="0"/>
      <w:ind w:firstLine="200" w:firstLineChars="200"/>
      <w:jc w:val="both"/>
    </w:pPr>
    <w:rPr>
      <w:rFonts w:ascii="Calibri" w:hAnsi="Calibri" w:cs="宋体"/>
      <w:kern w:val="2"/>
      <w:sz w:val="21"/>
      <w:szCs w:val="22"/>
    </w:rPr>
  </w:style>
  <w:style w:type="paragraph" w:customStyle="1" w:styleId="262">
    <w:name w:val="xl2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263">
    <w:name w:val="Char Char4 Char Char1"/>
    <w:basedOn w:val="1"/>
    <w:qFormat/>
    <w:uiPriority w:val="0"/>
    <w:pPr>
      <w:widowControl w:val="0"/>
      <w:jc w:val="both"/>
    </w:pPr>
    <w:rPr>
      <w:rFonts w:ascii="Tahoma" w:hAnsi="Tahoma"/>
      <w:kern w:val="2"/>
    </w:rPr>
  </w:style>
  <w:style w:type="paragraph" w:customStyle="1" w:styleId="264">
    <w:name w:val="正文1"/>
    <w:basedOn w:val="1"/>
    <w:qFormat/>
    <w:uiPriority w:val="0"/>
    <w:pPr>
      <w:widowControl w:val="0"/>
      <w:autoSpaceDE w:val="0"/>
      <w:autoSpaceDN w:val="0"/>
      <w:adjustRightInd w:val="0"/>
      <w:spacing w:line="360" w:lineRule="auto"/>
      <w:jc w:val="both"/>
    </w:pPr>
    <w:rPr>
      <w:rFonts w:ascii="宋体"/>
      <w:szCs w:val="24"/>
    </w:rPr>
  </w:style>
  <w:style w:type="paragraph" w:customStyle="1" w:styleId="265">
    <w:name w:val="财政-标题三"/>
    <w:basedOn w:val="244"/>
    <w:qFormat/>
    <w:uiPriority w:val="0"/>
    <w:pPr>
      <w:numPr>
        <w:ilvl w:val="2"/>
      </w:numPr>
      <w:outlineLvl w:val="2"/>
    </w:pPr>
    <w:rPr>
      <w:sz w:val="32"/>
    </w:rPr>
  </w:style>
  <w:style w:type="paragraph" w:customStyle="1" w:styleId="26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sz w:val="22"/>
      <w:szCs w:val="22"/>
    </w:rPr>
  </w:style>
  <w:style w:type="paragraph" w:customStyle="1" w:styleId="267">
    <w:name w:val="xl100"/>
    <w:basedOn w:val="1"/>
    <w:qFormat/>
    <w:uiPriority w:val="0"/>
    <w:pPr>
      <w:spacing w:before="100" w:beforeAutospacing="1" w:after="100" w:afterAutospacing="1"/>
      <w:jc w:val="center"/>
    </w:pPr>
    <w:rPr>
      <w:rFonts w:ascii="宋体" w:hAnsi="宋体" w:cs="宋体"/>
      <w:szCs w:val="24"/>
    </w:rPr>
  </w:style>
  <w:style w:type="paragraph" w:customStyle="1" w:styleId="268">
    <w:name w:val="我正文格式 首行缩进:2 字符"/>
    <w:basedOn w:val="1"/>
    <w:qFormat/>
    <w:uiPriority w:val="0"/>
    <w:pPr>
      <w:widowControl w:val="0"/>
      <w:spacing w:line="360" w:lineRule="auto"/>
      <w:ind w:firstLine="480" w:firstLineChars="200"/>
      <w:jc w:val="both"/>
    </w:pPr>
    <w:rPr>
      <w:rFonts w:cs="宋体"/>
      <w:kern w:val="2"/>
    </w:rPr>
  </w:style>
  <w:style w:type="paragraph" w:customStyle="1" w:styleId="269">
    <w:name w:val="xl5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Cs w:val="24"/>
    </w:rPr>
  </w:style>
  <w:style w:type="paragraph" w:customStyle="1" w:styleId="270">
    <w:name w:val="xl65"/>
    <w:basedOn w:val="1"/>
    <w:qFormat/>
    <w:uiPriority w:val="0"/>
    <w:pPr>
      <w:pBdr>
        <w:top w:val="single" w:color="auto" w:sz="4" w:space="0"/>
        <w:left w:val="single" w:color="auto" w:sz="12" w:space="0"/>
        <w:bottom w:val="single" w:color="auto" w:sz="4" w:space="0"/>
        <w:right w:val="single" w:color="auto" w:sz="4" w:space="0"/>
      </w:pBdr>
      <w:spacing w:beforeAutospacing="1" w:after="100" w:afterAutospacing="1"/>
      <w:jc w:val="center"/>
      <w:textAlignment w:val="center"/>
    </w:pPr>
    <w:rPr>
      <w:rFonts w:ascii="仿宋_GB2312" w:hAnsi="宋体" w:eastAsia="仿宋_GB2312" w:cs="宋体"/>
      <w:sz w:val="20"/>
    </w:rPr>
  </w:style>
  <w:style w:type="paragraph" w:customStyle="1" w:styleId="271">
    <w:name w:val="xl103"/>
    <w:basedOn w:val="1"/>
    <w:qFormat/>
    <w:uiPriority w:val="0"/>
    <w:pPr>
      <w:pBdr>
        <w:bottom w:val="single" w:color="auto" w:sz="4" w:space="0"/>
      </w:pBdr>
      <w:spacing w:before="100" w:beforeAutospacing="1" w:after="100" w:afterAutospacing="1"/>
      <w:jc w:val="center"/>
    </w:pPr>
    <w:rPr>
      <w:rFonts w:ascii="宋体" w:hAnsi="宋体" w:cs="宋体"/>
      <w:b/>
      <w:bCs/>
      <w:sz w:val="28"/>
      <w:szCs w:val="28"/>
    </w:rPr>
  </w:style>
  <w:style w:type="paragraph" w:customStyle="1" w:styleId="272">
    <w:name w:val="xl77"/>
    <w:basedOn w:val="1"/>
    <w:qFormat/>
    <w:uiPriority w:val="0"/>
    <w:pPr>
      <w:spacing w:beforeAutospacing="1" w:after="100" w:afterAutospacing="1"/>
      <w:jc w:val="center"/>
    </w:pPr>
    <w:rPr>
      <w:rFonts w:ascii="宋体" w:hAnsi="宋体" w:cs="宋体"/>
      <w:szCs w:val="24"/>
    </w:rPr>
  </w:style>
  <w:style w:type="paragraph" w:customStyle="1" w:styleId="273">
    <w:name w:val="图表居中"/>
    <w:basedOn w:val="1"/>
    <w:qFormat/>
    <w:uiPriority w:val="0"/>
    <w:pPr>
      <w:widowControl w:val="0"/>
      <w:jc w:val="center"/>
    </w:pPr>
    <w:rPr>
      <w:rFonts w:ascii="仿宋_GB2312"/>
      <w:kern w:val="2"/>
      <w:szCs w:val="28"/>
    </w:rPr>
  </w:style>
  <w:style w:type="paragraph" w:customStyle="1" w:styleId="274">
    <w:name w:val="xl2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27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2"/>
      <w:szCs w:val="22"/>
    </w:rPr>
  </w:style>
  <w:style w:type="paragraph" w:customStyle="1" w:styleId="276">
    <w:name w:val="xl3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宋体" w:hAnsi="宋体" w:cs="宋体"/>
      <w:szCs w:val="24"/>
    </w:rPr>
  </w:style>
  <w:style w:type="paragraph" w:customStyle="1" w:styleId="277">
    <w:name w:val="xl4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Cs w:val="24"/>
    </w:rPr>
  </w:style>
  <w:style w:type="paragraph" w:customStyle="1" w:styleId="278">
    <w:name w:val="正文文字"/>
    <w:basedOn w:val="1"/>
    <w:qFormat/>
    <w:uiPriority w:val="0"/>
    <w:pPr>
      <w:widowControl w:val="0"/>
      <w:spacing w:line="360" w:lineRule="auto"/>
      <w:ind w:firstLine="200" w:firstLineChars="200"/>
      <w:jc w:val="both"/>
    </w:pPr>
    <w:rPr>
      <w:rFonts w:ascii="宋体"/>
      <w:kern w:val="2"/>
      <w:szCs w:val="24"/>
    </w:rPr>
  </w:style>
  <w:style w:type="paragraph" w:customStyle="1" w:styleId="27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80">
    <w:name w:val="_Style 279"/>
    <w:basedOn w:val="3"/>
    <w:next w:val="1"/>
    <w:qFormat/>
    <w:uiPriority w:val="0"/>
    <w:pPr>
      <w:spacing w:before="480" w:after="0" w:line="276" w:lineRule="auto"/>
      <w:outlineLvl w:val="9"/>
    </w:pPr>
    <w:rPr>
      <w:rFonts w:ascii="Cambria" w:hAnsi="Cambria" w:eastAsia="宋体"/>
      <w:bCs/>
      <w:color w:val="365F91"/>
      <w:kern w:val="0"/>
      <w:sz w:val="28"/>
      <w:szCs w:val="28"/>
    </w:rPr>
  </w:style>
  <w:style w:type="paragraph" w:customStyle="1" w:styleId="281">
    <w:name w:val="xl85"/>
    <w:basedOn w:val="1"/>
    <w:qFormat/>
    <w:uiPriority w:val="0"/>
    <w:pPr>
      <w:spacing w:before="100" w:beforeAutospacing="1" w:after="100" w:afterAutospacing="1"/>
    </w:pPr>
    <w:rPr>
      <w:rFonts w:ascii="宋体" w:hAnsi="宋体" w:cs="宋体"/>
      <w:sz w:val="22"/>
      <w:szCs w:val="22"/>
    </w:rPr>
  </w:style>
  <w:style w:type="paragraph" w:customStyle="1" w:styleId="282">
    <w:name w:val="xl91"/>
    <w:basedOn w:val="1"/>
    <w:qFormat/>
    <w:uiPriority w:val="0"/>
    <w:pPr>
      <w:spacing w:before="100" w:beforeAutospacing="1" w:after="100" w:afterAutospacing="1"/>
    </w:pPr>
    <w:rPr>
      <w:rFonts w:ascii="宋体" w:hAnsi="宋体" w:cs="宋体"/>
      <w:sz w:val="22"/>
      <w:szCs w:val="22"/>
    </w:rPr>
  </w:style>
  <w:style w:type="character" w:customStyle="1" w:styleId="283">
    <w:name w:val="font01"/>
    <w:qFormat/>
    <w:uiPriority w:val="0"/>
    <w:rPr>
      <w:rFonts w:hint="eastAsia" w:ascii="宋体" w:hAnsi="宋体" w:eastAsia="宋体" w:cs="宋体"/>
      <w:color w:val="000000"/>
      <w:sz w:val="22"/>
      <w:szCs w:val="22"/>
      <w:u w:val="none"/>
    </w:rPr>
  </w:style>
  <w:style w:type="character" w:customStyle="1" w:styleId="284">
    <w:name w:val="下划线 Char"/>
    <w:link w:val="285"/>
    <w:qFormat/>
    <w:uiPriority w:val="0"/>
    <w:rPr>
      <w:rFonts w:ascii="宋体" w:hAnsi="宋体" w:cs="宋体"/>
      <w:b/>
      <w:bCs/>
      <w:sz w:val="28"/>
      <w:u w:val="single"/>
    </w:rPr>
  </w:style>
  <w:style w:type="paragraph" w:customStyle="1" w:styleId="285">
    <w:name w:val="下划线"/>
    <w:basedOn w:val="1"/>
    <w:link w:val="284"/>
    <w:qFormat/>
    <w:uiPriority w:val="0"/>
    <w:pPr>
      <w:spacing w:line="360" w:lineRule="auto"/>
      <w:ind w:firstLine="200" w:firstLineChars="200"/>
    </w:pPr>
    <w:rPr>
      <w:rFonts w:ascii="宋体" w:hAnsi="宋体"/>
      <w:b/>
      <w:bCs/>
      <w:sz w:val="28"/>
      <w:u w:val="single"/>
    </w:rPr>
  </w:style>
  <w:style w:type="character" w:customStyle="1" w:styleId="286">
    <w:name w:val="正文缩进 字符"/>
    <w:qFormat/>
    <w:locked/>
    <w:uiPriority w:val="0"/>
    <w:rPr>
      <w:kern w:val="2"/>
      <w:sz w:val="24"/>
      <w:szCs w:val="24"/>
    </w:rPr>
  </w:style>
  <w:style w:type="character" w:customStyle="1" w:styleId="287">
    <w:name w:val="TENG Char"/>
    <w:link w:val="288"/>
    <w:qFormat/>
    <w:uiPriority w:val="0"/>
    <w:rPr>
      <w:rFonts w:ascii="黑体" w:hAnsi="宋体"/>
      <w:b/>
      <w:color w:val="000000"/>
      <w:sz w:val="24"/>
      <w:szCs w:val="21"/>
    </w:rPr>
  </w:style>
  <w:style w:type="paragraph" w:customStyle="1" w:styleId="288">
    <w:name w:val="TENG"/>
    <w:basedOn w:val="21"/>
    <w:link w:val="287"/>
    <w:qFormat/>
    <w:uiPriority w:val="0"/>
    <w:pPr>
      <w:tabs>
        <w:tab w:val="left" w:pos="6480"/>
      </w:tabs>
      <w:spacing w:line="360" w:lineRule="auto"/>
      <w:ind w:firstLine="540" w:firstLineChars="225"/>
    </w:pPr>
    <w:rPr>
      <w:rFonts w:ascii="黑体" w:hAnsi="宋体"/>
      <w:b/>
      <w:color w:val="000000"/>
      <w:szCs w:val="21"/>
    </w:rPr>
  </w:style>
  <w:style w:type="paragraph" w:customStyle="1" w:styleId="289">
    <w:name w:val="章标题"/>
    <w:next w:val="253"/>
    <w:qFormat/>
    <w:uiPriority w:val="0"/>
    <w:pPr>
      <w:numPr>
        <w:ilvl w:val="1"/>
        <w:numId w:val="7"/>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90">
    <w:name w:val="一级条标题"/>
    <w:next w:val="253"/>
    <w:qFormat/>
    <w:uiPriority w:val="0"/>
    <w:pPr>
      <w:outlineLvl w:val="2"/>
    </w:pPr>
    <w:rPr>
      <w:rFonts w:ascii="Times New Roman" w:hAnsi="Times New Roman" w:eastAsia="黑体" w:cs="Times New Roman"/>
      <w:sz w:val="21"/>
      <w:lang w:val="en-US" w:eastAsia="zh-CN" w:bidi="ar-SA"/>
    </w:rPr>
  </w:style>
  <w:style w:type="paragraph" w:customStyle="1" w:styleId="291">
    <w:name w:val="二级条标题"/>
    <w:basedOn w:val="290"/>
    <w:next w:val="253"/>
    <w:qFormat/>
    <w:uiPriority w:val="0"/>
    <w:pPr>
      <w:numPr>
        <w:ilvl w:val="3"/>
        <w:numId w:val="7"/>
      </w:numPr>
      <w:outlineLvl w:val="3"/>
    </w:pPr>
  </w:style>
  <w:style w:type="paragraph" w:customStyle="1" w:styleId="292">
    <w:name w:val="列表段落1"/>
    <w:basedOn w:val="1"/>
    <w:qFormat/>
    <w:uiPriority w:val="99"/>
    <w:pPr>
      <w:widowControl w:val="0"/>
      <w:ind w:firstLine="420" w:firstLineChars="200"/>
      <w:jc w:val="both"/>
    </w:pPr>
    <w:rPr>
      <w:kern w:val="2"/>
      <w:sz w:val="21"/>
      <w:szCs w:val="24"/>
    </w:rPr>
  </w:style>
  <w:style w:type="paragraph" w:customStyle="1" w:styleId="293">
    <w:name w:val="_Style 292"/>
    <w:unhideWhenUsed/>
    <w:qFormat/>
    <w:uiPriority w:val="99"/>
    <w:rPr>
      <w:rFonts w:ascii="Times New Roman" w:hAnsi="Times New Roman" w:eastAsia="宋体" w:cs="Times New Roman"/>
      <w:sz w:val="24"/>
      <w:lang w:val="en-US" w:eastAsia="zh-CN" w:bidi="ar-SA"/>
    </w:rPr>
  </w:style>
  <w:style w:type="character" w:customStyle="1" w:styleId="294">
    <w:name w:val="正文文本_"/>
    <w:basedOn w:val="59"/>
    <w:link w:val="295"/>
    <w:qFormat/>
    <w:uiPriority w:val="0"/>
    <w:rPr>
      <w:rFonts w:ascii="MingLiU" w:hAnsi="MingLiU" w:eastAsia="MingLiU" w:cs="MingLiU"/>
      <w:sz w:val="22"/>
      <w:szCs w:val="22"/>
      <w:shd w:val="clear" w:color="auto" w:fill="FFFFFF"/>
      <w:lang w:val="zh-CN" w:bidi="zh-CN"/>
    </w:rPr>
  </w:style>
  <w:style w:type="paragraph" w:customStyle="1" w:styleId="295">
    <w:name w:val="正文文本1"/>
    <w:basedOn w:val="1"/>
    <w:link w:val="294"/>
    <w:qFormat/>
    <w:uiPriority w:val="0"/>
    <w:pPr>
      <w:widowControl w:val="0"/>
      <w:shd w:val="clear" w:color="auto" w:fill="FFFFFF"/>
      <w:spacing w:line="439" w:lineRule="auto"/>
    </w:pPr>
    <w:rPr>
      <w:rFonts w:ascii="MingLiU" w:hAnsi="MingLiU" w:eastAsia="MingLiU" w:cs="MingLiU"/>
      <w:sz w:val="22"/>
      <w:szCs w:val="22"/>
      <w:lang w:val="zh-CN" w:bidi="zh-CN"/>
    </w:rPr>
  </w:style>
  <w:style w:type="character" w:customStyle="1" w:styleId="296">
    <w:name w:val="其他_"/>
    <w:basedOn w:val="59"/>
    <w:link w:val="297"/>
    <w:qFormat/>
    <w:uiPriority w:val="0"/>
    <w:rPr>
      <w:rFonts w:ascii="MingLiU" w:hAnsi="MingLiU" w:eastAsia="MingLiU" w:cs="MingLiU"/>
      <w:sz w:val="22"/>
      <w:szCs w:val="22"/>
      <w:shd w:val="clear" w:color="auto" w:fill="FFFFFF"/>
      <w:lang w:val="zh-CN" w:bidi="zh-CN"/>
    </w:rPr>
  </w:style>
  <w:style w:type="paragraph" w:customStyle="1" w:styleId="297">
    <w:name w:val="其他"/>
    <w:basedOn w:val="1"/>
    <w:link w:val="296"/>
    <w:qFormat/>
    <w:uiPriority w:val="0"/>
    <w:pPr>
      <w:widowControl w:val="0"/>
      <w:shd w:val="clear" w:color="auto" w:fill="FFFFFF"/>
      <w:spacing w:line="439" w:lineRule="auto"/>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Name</Company>
  <Pages>36</Pages>
  <Words>21124</Words>
  <Characters>22616</Characters>
  <Lines>177</Lines>
  <Paragraphs>49</Paragraphs>
  <TotalTime>119</TotalTime>
  <ScaleCrop>false</ScaleCrop>
  <LinksUpToDate>false</LinksUpToDate>
  <CharactersWithSpaces>23785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2021-05-09T05:50:00Z</dcterms:created>
  <dc:creator>jane</dc:creator>
  <cp:lastModifiedBy>罗逸秋</cp:lastModifiedBy>
  <cp:lastPrinted>2016-10-08T02:37:00Z</cp:lastPrinted>
  <dcterms:modified xsi:type="dcterms:W3CDTF">2024-09-25T08:11:29Z</dcterms:modified>
  <dc:title>苏 州 市 政 府 采 购</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041B4880BD1E450791A13C934627ED5A_13</vt:lpwstr>
  </property>
</Properties>
</file>