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cs="Arial"/>
          <w:b/>
          <w:bCs/>
          <w:color w:val="000000"/>
          <w:highlight w:val="none"/>
        </w:rPr>
      </w:pPr>
      <w:r>
        <w:rPr>
          <w:rFonts w:hint="eastAsia" w:cs="Arial"/>
          <w:b/>
          <w:bCs/>
          <w:color w:val="000000"/>
          <w:highlight w:val="none"/>
        </w:rPr>
        <w:t>苏州燃气集团有限责任公司关于</w:t>
      </w:r>
      <w:r>
        <w:rPr>
          <w:rFonts w:hint="eastAsia" w:cs="Arial"/>
          <w:b/>
          <w:bCs/>
          <w:color w:val="000000"/>
          <w:highlight w:val="none"/>
          <w:lang w:eastAsia="zh-CN"/>
        </w:rPr>
        <w:t>2023-2025年度超声波燃气表供应商入围项目</w:t>
      </w:r>
      <w:r>
        <w:rPr>
          <w:rFonts w:hint="eastAsia" w:cs="Arial"/>
          <w:b/>
          <w:bCs/>
          <w:color w:val="000000"/>
          <w:highlight w:val="none"/>
        </w:rPr>
        <w:t>的招标公告</w:t>
      </w:r>
    </w:p>
    <w:p>
      <w:pPr>
        <w:spacing w:line="360" w:lineRule="auto"/>
        <w:ind w:left="-17" w:leftChars="-8" w:firstLine="436" w:firstLineChars="208"/>
        <w:rPr>
          <w:rFonts w:ascii="宋体" w:hAnsi="宋体"/>
          <w:color w:val="000000"/>
          <w:szCs w:val="21"/>
          <w:highlight w:val="none"/>
        </w:rPr>
      </w:pPr>
      <w:r>
        <w:rPr>
          <w:rFonts w:ascii="宋体" w:hAnsi="宋体"/>
          <w:color w:val="000000"/>
          <w:szCs w:val="21"/>
          <w:highlight w:val="none"/>
        </w:rPr>
        <w:t>江苏仁合中惠工程咨询有限公司受</w:t>
      </w:r>
      <w:r>
        <w:rPr>
          <w:rFonts w:hint="eastAsia" w:ascii="宋体" w:hAnsi="宋体"/>
          <w:color w:val="000000"/>
          <w:szCs w:val="21"/>
          <w:highlight w:val="none"/>
          <w:lang w:val="zh-CN"/>
        </w:rPr>
        <w:t>苏州燃气集团有限责任公司</w:t>
      </w:r>
      <w:r>
        <w:rPr>
          <w:rFonts w:ascii="宋体" w:hAnsi="宋体"/>
          <w:color w:val="000000"/>
          <w:szCs w:val="21"/>
          <w:highlight w:val="none"/>
        </w:rPr>
        <w:t>的委托，就其所需的</w:t>
      </w:r>
      <w:r>
        <w:rPr>
          <w:rFonts w:hint="eastAsia" w:ascii="宋体" w:hAnsi="宋体"/>
          <w:color w:val="000000"/>
          <w:szCs w:val="21"/>
          <w:highlight w:val="none"/>
          <w:lang w:eastAsia="zh-CN"/>
        </w:rPr>
        <w:t>2023-2025年度超声波燃气表供应商入围项目</w:t>
      </w:r>
      <w:r>
        <w:rPr>
          <w:rFonts w:ascii="宋体" w:hAnsi="宋体"/>
          <w:color w:val="000000"/>
          <w:szCs w:val="21"/>
          <w:highlight w:val="none"/>
        </w:rPr>
        <w:t>进行国内公开招标。欢迎有资格的供应商前来参加投标。</w:t>
      </w:r>
    </w:p>
    <w:p>
      <w:pPr>
        <w:spacing w:line="360" w:lineRule="auto"/>
        <w:ind w:firstLine="422" w:firstLineChars="200"/>
        <w:rPr>
          <w:rFonts w:hint="eastAsia" w:ascii="宋体" w:hAnsi="宋体"/>
          <w:b w:val="0"/>
          <w:bCs/>
          <w:color w:val="000000"/>
          <w:szCs w:val="21"/>
          <w:highlight w:val="none"/>
        </w:rPr>
      </w:pPr>
      <w:r>
        <w:rPr>
          <w:rFonts w:hint="eastAsia" w:ascii="宋体" w:hAnsi="宋体"/>
          <w:b/>
          <w:color w:val="000000"/>
          <w:szCs w:val="21"/>
          <w:highlight w:val="none"/>
        </w:rPr>
        <w:t>一、</w:t>
      </w:r>
      <w:r>
        <w:rPr>
          <w:rFonts w:ascii="宋体" w:hAnsi="宋体"/>
          <w:b/>
          <w:color w:val="000000"/>
          <w:szCs w:val="21"/>
          <w:highlight w:val="none"/>
        </w:rPr>
        <w:t>招标项目编号：</w:t>
      </w:r>
      <w:r>
        <w:rPr>
          <w:rFonts w:hint="eastAsia" w:ascii="宋体" w:hAnsi="宋体"/>
          <w:b w:val="0"/>
          <w:bCs/>
          <w:color w:val="000000"/>
          <w:szCs w:val="21"/>
          <w:highlight w:val="none"/>
        </w:rPr>
        <w:t>RHZH2023-Z-G-073</w:t>
      </w:r>
    </w:p>
    <w:p>
      <w:pPr>
        <w:spacing w:line="360" w:lineRule="auto"/>
        <w:ind w:firstLine="422" w:firstLineChars="200"/>
        <w:rPr>
          <w:rFonts w:hint="eastAsia" w:ascii="宋体" w:hAnsi="宋体"/>
          <w:b w:val="0"/>
          <w:bCs/>
          <w:color w:val="000000"/>
          <w:szCs w:val="21"/>
          <w:highlight w:val="none"/>
        </w:rPr>
      </w:pPr>
      <w:r>
        <w:rPr>
          <w:rFonts w:hint="eastAsia" w:ascii="宋体" w:hAnsi="宋体"/>
          <w:b/>
          <w:color w:val="000000"/>
          <w:szCs w:val="21"/>
          <w:highlight w:val="none"/>
        </w:rPr>
        <w:t>二、</w:t>
      </w:r>
      <w:r>
        <w:rPr>
          <w:rFonts w:ascii="宋体" w:hAnsi="宋体"/>
          <w:b/>
          <w:color w:val="000000"/>
          <w:szCs w:val="21"/>
          <w:highlight w:val="none"/>
        </w:rPr>
        <w:t>招标项</w:t>
      </w:r>
      <w:r>
        <w:rPr>
          <w:rFonts w:hint="eastAsia" w:ascii="宋体" w:hAnsi="宋体"/>
          <w:b/>
          <w:color w:val="000000"/>
          <w:szCs w:val="21"/>
          <w:highlight w:val="none"/>
        </w:rPr>
        <w:t>目：</w:t>
      </w:r>
      <w:r>
        <w:rPr>
          <w:rFonts w:hint="eastAsia" w:ascii="宋体" w:hAnsi="宋体"/>
          <w:b w:val="0"/>
          <w:bCs/>
          <w:color w:val="000000"/>
          <w:szCs w:val="21"/>
          <w:highlight w:val="none"/>
          <w:lang w:eastAsia="zh-CN"/>
        </w:rPr>
        <w:t>2023-2025年度超声波燃气表供应商入围项目</w:t>
      </w:r>
      <w:r>
        <w:rPr>
          <w:rFonts w:hint="eastAsia" w:ascii="宋体" w:hAnsi="宋体"/>
          <w:b w:val="0"/>
          <w:bCs/>
          <w:color w:val="000000"/>
          <w:szCs w:val="21"/>
          <w:highlight w:val="none"/>
        </w:rPr>
        <w:t xml:space="preserve"> </w:t>
      </w:r>
    </w:p>
    <w:p>
      <w:pPr>
        <w:spacing w:line="360" w:lineRule="auto"/>
        <w:ind w:firstLine="422" w:firstLineChars="200"/>
        <w:rPr>
          <w:rFonts w:hint="eastAsia" w:ascii="宋体" w:hAnsi="宋体" w:eastAsia="宋体"/>
          <w:b w:val="0"/>
          <w:bCs/>
          <w:color w:val="auto"/>
          <w:szCs w:val="21"/>
          <w:highlight w:val="none"/>
          <w:lang w:val="en-US" w:eastAsia="zh-CN"/>
        </w:rPr>
      </w:pPr>
      <w:r>
        <w:rPr>
          <w:rFonts w:hint="eastAsia" w:ascii="宋体" w:hAnsi="宋体"/>
          <w:b/>
          <w:color w:val="000000"/>
          <w:szCs w:val="21"/>
          <w:highlight w:val="none"/>
        </w:rPr>
        <w:t>三、采购预算：</w:t>
      </w:r>
      <w:r>
        <w:rPr>
          <w:rFonts w:hint="eastAsia" w:ascii="宋体" w:hAnsi="宋体"/>
          <w:b w:val="0"/>
          <w:bCs/>
          <w:color w:val="000000"/>
          <w:szCs w:val="21"/>
          <w:highlight w:val="none"/>
          <w:lang w:val="en-US" w:eastAsia="zh-CN"/>
        </w:rPr>
        <w:t>人民币</w:t>
      </w:r>
      <w:r>
        <w:rPr>
          <w:rFonts w:hint="eastAsia" w:ascii="宋体" w:hAnsi="宋体"/>
          <w:b w:val="0"/>
          <w:bCs/>
          <w:color w:val="auto"/>
          <w:szCs w:val="21"/>
          <w:highlight w:val="none"/>
          <w:lang w:val="en-US" w:eastAsia="zh-CN"/>
        </w:rPr>
        <w:t>伍佰玖拾壹万伍仟贰佰伍拾元捌角（¥5,915,250.8）</w:t>
      </w:r>
    </w:p>
    <w:p>
      <w:pPr>
        <w:spacing w:line="360" w:lineRule="auto"/>
        <w:ind w:firstLine="422" w:firstLineChars="200"/>
        <w:rPr>
          <w:rFonts w:hint="eastAsia" w:ascii="宋体" w:hAnsi="宋体"/>
          <w:b/>
          <w:color w:val="000000"/>
          <w:szCs w:val="21"/>
          <w:highlight w:val="none"/>
        </w:rPr>
      </w:pPr>
      <w:r>
        <w:rPr>
          <w:rFonts w:hint="eastAsia" w:ascii="宋体" w:hAnsi="宋体"/>
          <w:b/>
          <w:color w:val="000000"/>
          <w:szCs w:val="21"/>
          <w:highlight w:val="none"/>
        </w:rPr>
        <w:t>四、采购清单：</w:t>
      </w:r>
    </w:p>
    <w:tbl>
      <w:tblPr>
        <w:tblStyle w:val="4"/>
        <w:tblW w:w="94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669"/>
        <w:gridCol w:w="1446"/>
        <w:gridCol w:w="854"/>
        <w:gridCol w:w="1423"/>
        <w:gridCol w:w="1523"/>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77" w:type="dxa"/>
            <w:noWrap w:val="0"/>
            <w:vAlign w:val="center"/>
          </w:tcPr>
          <w:p>
            <w:pPr>
              <w:pStyle w:val="6"/>
              <w:spacing w:line="360" w:lineRule="auto"/>
              <w:jc w:val="center"/>
              <w:rPr>
                <w:rFonts w:hAnsi="宋体" w:eastAsia="宋体" w:cs="宋体"/>
                <w:color w:val="000000"/>
                <w:sz w:val="21"/>
                <w:szCs w:val="21"/>
                <w:highlight w:val="none"/>
              </w:rPr>
            </w:pPr>
            <w:r>
              <w:rPr>
                <w:rFonts w:hint="eastAsia" w:hAnsi="宋体" w:eastAsia="宋体" w:cs="宋体"/>
                <w:color w:val="000000"/>
                <w:sz w:val="21"/>
                <w:szCs w:val="21"/>
                <w:highlight w:val="none"/>
              </w:rPr>
              <w:t>序号</w:t>
            </w:r>
          </w:p>
        </w:tc>
        <w:tc>
          <w:tcPr>
            <w:tcW w:w="1669" w:type="dxa"/>
            <w:noWrap w:val="0"/>
            <w:vAlign w:val="center"/>
          </w:tcPr>
          <w:p>
            <w:pPr>
              <w:pStyle w:val="6"/>
              <w:spacing w:line="360" w:lineRule="auto"/>
              <w:jc w:val="center"/>
              <w:rPr>
                <w:rFonts w:hAnsi="宋体" w:eastAsia="宋体" w:cs="宋体"/>
                <w:color w:val="000000"/>
                <w:sz w:val="21"/>
                <w:szCs w:val="21"/>
                <w:highlight w:val="none"/>
              </w:rPr>
            </w:pPr>
            <w:r>
              <w:rPr>
                <w:rFonts w:hint="eastAsia" w:hAnsi="宋体" w:eastAsia="宋体" w:cs="宋体"/>
                <w:color w:val="000000"/>
                <w:sz w:val="21"/>
                <w:szCs w:val="21"/>
                <w:highlight w:val="none"/>
              </w:rPr>
              <w:t>采购内容</w:t>
            </w:r>
          </w:p>
        </w:tc>
        <w:tc>
          <w:tcPr>
            <w:tcW w:w="1446" w:type="dxa"/>
            <w:noWrap w:val="0"/>
            <w:vAlign w:val="center"/>
          </w:tcPr>
          <w:p>
            <w:pPr>
              <w:pStyle w:val="6"/>
              <w:spacing w:line="360" w:lineRule="auto"/>
              <w:jc w:val="center"/>
              <w:rPr>
                <w:rFonts w:hAnsi="宋体" w:eastAsia="宋体" w:cs="宋体"/>
                <w:color w:val="000000"/>
                <w:sz w:val="21"/>
                <w:szCs w:val="21"/>
                <w:highlight w:val="none"/>
              </w:rPr>
            </w:pPr>
            <w:r>
              <w:rPr>
                <w:rFonts w:hint="eastAsia" w:hAnsi="宋体" w:eastAsia="宋体" w:cs="宋体"/>
                <w:color w:val="000000"/>
                <w:sz w:val="21"/>
                <w:szCs w:val="21"/>
                <w:highlight w:val="none"/>
              </w:rPr>
              <w:t>规格型号</w:t>
            </w:r>
          </w:p>
        </w:tc>
        <w:tc>
          <w:tcPr>
            <w:tcW w:w="854" w:type="dxa"/>
            <w:noWrap w:val="0"/>
            <w:vAlign w:val="center"/>
          </w:tcPr>
          <w:p>
            <w:pPr>
              <w:pStyle w:val="6"/>
              <w:spacing w:line="360" w:lineRule="auto"/>
              <w:jc w:val="center"/>
              <w:rPr>
                <w:rFonts w:hAnsi="宋体" w:eastAsia="宋体" w:cs="宋体"/>
                <w:color w:val="000000"/>
                <w:sz w:val="21"/>
                <w:szCs w:val="21"/>
                <w:highlight w:val="none"/>
              </w:rPr>
            </w:pPr>
            <w:r>
              <w:rPr>
                <w:rFonts w:hint="eastAsia" w:hAnsi="宋体" w:eastAsia="宋体" w:cs="宋体"/>
                <w:color w:val="000000"/>
                <w:sz w:val="21"/>
                <w:szCs w:val="21"/>
                <w:highlight w:val="none"/>
              </w:rPr>
              <w:t>单位</w:t>
            </w:r>
          </w:p>
        </w:tc>
        <w:tc>
          <w:tcPr>
            <w:tcW w:w="1423" w:type="dxa"/>
            <w:noWrap w:val="0"/>
            <w:vAlign w:val="center"/>
          </w:tcPr>
          <w:p>
            <w:pPr>
              <w:pStyle w:val="6"/>
              <w:spacing w:line="360" w:lineRule="auto"/>
              <w:jc w:val="center"/>
              <w:rPr>
                <w:rFonts w:hAnsi="宋体" w:eastAsia="宋体" w:cs="宋体"/>
                <w:color w:val="000000"/>
                <w:sz w:val="21"/>
                <w:szCs w:val="21"/>
                <w:highlight w:val="none"/>
              </w:rPr>
            </w:pPr>
            <w:r>
              <w:rPr>
                <w:rFonts w:hint="eastAsia" w:hAnsi="宋体" w:eastAsia="宋体" w:cs="宋体"/>
                <w:color w:val="000000"/>
                <w:sz w:val="21"/>
                <w:szCs w:val="21"/>
                <w:highlight w:val="none"/>
              </w:rPr>
              <w:t>数量</w:t>
            </w:r>
          </w:p>
        </w:tc>
        <w:tc>
          <w:tcPr>
            <w:tcW w:w="1523" w:type="dxa"/>
            <w:noWrap w:val="0"/>
            <w:vAlign w:val="center"/>
          </w:tcPr>
          <w:p>
            <w:pPr>
              <w:pStyle w:val="6"/>
              <w:spacing w:line="360" w:lineRule="auto"/>
              <w:jc w:val="center"/>
              <w:rPr>
                <w:rFonts w:hint="eastAsia" w:hAnsi="宋体" w:eastAsia="宋体" w:cs="宋体"/>
                <w:color w:val="000000"/>
                <w:sz w:val="21"/>
                <w:szCs w:val="21"/>
                <w:highlight w:val="none"/>
              </w:rPr>
            </w:pPr>
            <w:r>
              <w:rPr>
                <w:rFonts w:hint="eastAsia" w:hAnsi="宋体" w:eastAsia="宋体" w:cs="宋体"/>
                <w:color w:val="000000"/>
                <w:sz w:val="21"/>
                <w:szCs w:val="21"/>
                <w:highlight w:val="none"/>
                <w:lang w:val="en-US" w:eastAsia="zh-CN"/>
              </w:rPr>
              <w:t>单价限价</w:t>
            </w:r>
            <w:r>
              <w:rPr>
                <w:rFonts w:hint="eastAsia" w:hAnsi="宋体" w:eastAsia="宋体" w:cs="宋体"/>
                <w:color w:val="000000"/>
                <w:sz w:val="21"/>
                <w:szCs w:val="21"/>
                <w:highlight w:val="none"/>
              </w:rPr>
              <w:t>（元）</w:t>
            </w:r>
          </w:p>
        </w:tc>
        <w:tc>
          <w:tcPr>
            <w:tcW w:w="1715" w:type="dxa"/>
            <w:noWrap w:val="0"/>
            <w:vAlign w:val="center"/>
          </w:tcPr>
          <w:p>
            <w:pPr>
              <w:pStyle w:val="6"/>
              <w:spacing w:line="360" w:lineRule="auto"/>
              <w:jc w:val="center"/>
              <w:rPr>
                <w:rFonts w:hint="eastAsia" w:hAnsi="宋体" w:eastAsia="宋体" w:cs="宋体"/>
                <w:color w:val="000000"/>
                <w:sz w:val="21"/>
                <w:szCs w:val="21"/>
                <w:highlight w:val="none"/>
              </w:rPr>
            </w:pPr>
            <w:r>
              <w:rPr>
                <w:rFonts w:hint="eastAsia" w:hAnsi="宋体" w:eastAsia="宋体" w:cs="宋体"/>
                <w:color w:val="00000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777" w:type="dxa"/>
            <w:noWrap w:val="0"/>
            <w:vAlign w:val="center"/>
          </w:tcPr>
          <w:p>
            <w:pPr>
              <w:pStyle w:val="6"/>
              <w:spacing w:line="360" w:lineRule="auto"/>
              <w:jc w:val="center"/>
              <w:rPr>
                <w:rFonts w:hint="eastAsia" w:hAnsi="宋体" w:eastAsia="宋体" w:cs="宋体"/>
                <w:color w:val="000000"/>
                <w:sz w:val="21"/>
                <w:szCs w:val="21"/>
                <w:highlight w:val="none"/>
              </w:rPr>
            </w:pPr>
            <w:r>
              <w:rPr>
                <w:rFonts w:hint="eastAsia" w:hAnsi="宋体" w:eastAsia="宋体" w:cs="宋体"/>
                <w:color w:val="000000"/>
                <w:sz w:val="21"/>
                <w:szCs w:val="21"/>
                <w:highlight w:val="none"/>
              </w:rPr>
              <w:t>1</w:t>
            </w:r>
          </w:p>
        </w:tc>
        <w:tc>
          <w:tcPr>
            <w:tcW w:w="1669" w:type="dxa"/>
            <w:noWrap w:val="0"/>
            <w:vAlign w:val="center"/>
          </w:tcPr>
          <w:p>
            <w:pPr>
              <w:pStyle w:val="6"/>
              <w:spacing w:line="360" w:lineRule="auto"/>
              <w:jc w:val="center"/>
              <w:rPr>
                <w:rFonts w:hint="eastAsia" w:hAnsi="宋体" w:eastAsia="宋体" w:cs="宋体"/>
                <w:color w:val="000000"/>
                <w:sz w:val="21"/>
                <w:szCs w:val="21"/>
                <w:highlight w:val="none"/>
              </w:rPr>
            </w:pPr>
            <w:r>
              <w:rPr>
                <w:rFonts w:hint="eastAsia" w:hAnsi="宋体" w:eastAsia="宋体" w:cs="宋体"/>
                <w:color w:val="000000"/>
                <w:sz w:val="21"/>
                <w:szCs w:val="21"/>
                <w:highlight w:val="none"/>
              </w:rPr>
              <w:t>民用</w:t>
            </w:r>
          </w:p>
          <w:p>
            <w:pPr>
              <w:pStyle w:val="6"/>
              <w:spacing w:line="360" w:lineRule="auto"/>
              <w:jc w:val="center"/>
              <w:rPr>
                <w:rFonts w:hint="eastAsia" w:hAnsi="宋体" w:eastAsia="宋体" w:cs="宋体"/>
                <w:color w:val="000000"/>
                <w:sz w:val="21"/>
                <w:szCs w:val="21"/>
                <w:highlight w:val="none"/>
              </w:rPr>
            </w:pPr>
            <w:r>
              <w:rPr>
                <w:rFonts w:hint="eastAsia" w:hAnsi="宋体" w:eastAsia="宋体" w:cs="宋体"/>
                <w:color w:val="000000"/>
                <w:sz w:val="21"/>
                <w:szCs w:val="21"/>
                <w:highlight w:val="none"/>
              </w:rPr>
              <w:t>超声波燃气表</w:t>
            </w:r>
          </w:p>
        </w:tc>
        <w:tc>
          <w:tcPr>
            <w:tcW w:w="1446" w:type="dxa"/>
            <w:noWrap w:val="0"/>
            <w:vAlign w:val="center"/>
          </w:tcPr>
          <w:p>
            <w:pPr>
              <w:pStyle w:val="6"/>
              <w:spacing w:line="360" w:lineRule="auto"/>
              <w:jc w:val="center"/>
              <w:rPr>
                <w:rFonts w:hint="eastAsia" w:hAnsi="宋体" w:eastAsia="宋体" w:cs="宋体"/>
                <w:color w:val="000000"/>
                <w:sz w:val="21"/>
                <w:szCs w:val="21"/>
                <w:highlight w:val="none"/>
              </w:rPr>
            </w:pPr>
            <w:r>
              <w:rPr>
                <w:rFonts w:hint="eastAsia" w:hAnsi="宋体" w:eastAsia="宋体" w:cs="宋体"/>
                <w:color w:val="000000"/>
                <w:sz w:val="21"/>
                <w:szCs w:val="21"/>
                <w:highlight w:val="none"/>
              </w:rPr>
              <w:t>民用G4</w:t>
            </w:r>
          </w:p>
          <w:p>
            <w:pPr>
              <w:pStyle w:val="6"/>
              <w:spacing w:line="360" w:lineRule="auto"/>
              <w:jc w:val="center"/>
              <w:rPr>
                <w:rFonts w:hint="eastAsia" w:hAnsi="宋体" w:eastAsia="宋体" w:cs="宋体"/>
                <w:color w:val="000000"/>
                <w:sz w:val="21"/>
                <w:szCs w:val="21"/>
                <w:highlight w:val="none"/>
              </w:rPr>
            </w:pPr>
            <w:r>
              <w:rPr>
                <w:rFonts w:hint="eastAsia" w:hAnsi="宋体" w:eastAsia="宋体" w:cs="宋体"/>
                <w:color w:val="000000"/>
                <w:sz w:val="21"/>
                <w:szCs w:val="21"/>
                <w:highlight w:val="none"/>
              </w:rPr>
              <w:t>（宽量程）</w:t>
            </w:r>
          </w:p>
        </w:tc>
        <w:tc>
          <w:tcPr>
            <w:tcW w:w="854" w:type="dxa"/>
            <w:noWrap w:val="0"/>
            <w:vAlign w:val="center"/>
          </w:tcPr>
          <w:p>
            <w:pPr>
              <w:pStyle w:val="6"/>
              <w:spacing w:line="360" w:lineRule="auto"/>
              <w:ind w:firstLine="210" w:firstLineChars="100"/>
              <w:rPr>
                <w:rFonts w:hint="eastAsia" w:hAnsi="宋体" w:eastAsia="宋体" w:cs="宋体"/>
                <w:color w:val="000000"/>
                <w:sz w:val="21"/>
                <w:szCs w:val="21"/>
                <w:highlight w:val="none"/>
              </w:rPr>
            </w:pPr>
            <w:r>
              <w:rPr>
                <w:rFonts w:hint="eastAsia" w:hAnsi="宋体" w:eastAsia="宋体" w:cs="宋体"/>
                <w:color w:val="000000"/>
                <w:sz w:val="21"/>
                <w:szCs w:val="21"/>
                <w:highlight w:val="none"/>
              </w:rPr>
              <w:t>只</w:t>
            </w:r>
          </w:p>
        </w:tc>
        <w:tc>
          <w:tcPr>
            <w:tcW w:w="1423" w:type="dxa"/>
            <w:noWrap w:val="0"/>
            <w:vAlign w:val="center"/>
          </w:tcPr>
          <w:p>
            <w:pPr>
              <w:pStyle w:val="6"/>
              <w:jc w:val="center"/>
              <w:rPr>
                <w:rFonts w:hint="eastAsia" w:hAnsi="宋体" w:eastAsia="宋体" w:cs="宋体"/>
                <w:color w:val="000000"/>
                <w:sz w:val="21"/>
                <w:szCs w:val="21"/>
                <w:highlight w:val="none"/>
              </w:rPr>
            </w:pPr>
            <w:r>
              <w:rPr>
                <w:rFonts w:hint="eastAsia" w:hAnsi="宋体" w:eastAsia="宋体" w:cs="宋体"/>
                <w:color w:val="000000"/>
                <w:sz w:val="21"/>
                <w:szCs w:val="21"/>
                <w:highlight w:val="none"/>
              </w:rPr>
              <w:t>10000</w:t>
            </w:r>
          </w:p>
        </w:tc>
        <w:tc>
          <w:tcPr>
            <w:tcW w:w="1523" w:type="dxa"/>
            <w:noWrap w:val="0"/>
            <w:vAlign w:val="center"/>
          </w:tcPr>
          <w:p>
            <w:pPr>
              <w:pStyle w:val="6"/>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468</w:t>
            </w:r>
          </w:p>
        </w:tc>
        <w:tc>
          <w:tcPr>
            <w:tcW w:w="1715" w:type="dxa"/>
            <w:vMerge w:val="restart"/>
            <w:noWrap w:val="0"/>
            <w:vAlign w:val="center"/>
          </w:tcPr>
          <w:p>
            <w:pPr>
              <w:pStyle w:val="6"/>
              <w:spacing w:line="360" w:lineRule="auto"/>
              <w:jc w:val="both"/>
              <w:rPr>
                <w:rFonts w:hint="eastAsia" w:hAnsi="宋体" w:eastAsia="宋体" w:cs="宋体"/>
                <w:color w:val="000000"/>
                <w:sz w:val="21"/>
                <w:szCs w:val="21"/>
                <w:highlight w:val="none"/>
              </w:rPr>
            </w:pPr>
            <w:r>
              <w:rPr>
                <w:rFonts w:hint="eastAsia" w:hAnsi="宋体" w:eastAsia="宋体" w:cs="宋体"/>
                <w:color w:val="000000"/>
                <w:sz w:val="21"/>
                <w:szCs w:val="21"/>
                <w:highlight w:val="none"/>
              </w:rPr>
              <w:t>含10年通讯费、电池、纸质</w:t>
            </w:r>
            <w:r>
              <w:rPr>
                <w:rFonts w:hAnsi="宋体" w:eastAsia="宋体" w:cs="宋体"/>
                <w:color w:val="000000"/>
                <w:sz w:val="21"/>
                <w:szCs w:val="21"/>
                <w:highlight w:val="none"/>
              </w:rPr>
              <w:t>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77" w:type="dxa"/>
            <w:vMerge w:val="restart"/>
            <w:noWrap w:val="0"/>
            <w:vAlign w:val="center"/>
          </w:tcPr>
          <w:p>
            <w:pPr>
              <w:pStyle w:val="6"/>
              <w:spacing w:line="360" w:lineRule="auto"/>
              <w:jc w:val="center"/>
              <w:rPr>
                <w:rFonts w:hint="eastAsia" w:hAnsi="宋体" w:eastAsia="宋体" w:cs="宋体"/>
                <w:color w:val="000000"/>
                <w:sz w:val="21"/>
                <w:szCs w:val="21"/>
                <w:highlight w:val="none"/>
              </w:rPr>
            </w:pPr>
            <w:r>
              <w:rPr>
                <w:rFonts w:hint="eastAsia" w:hAnsi="宋体" w:eastAsia="宋体" w:cs="宋体"/>
                <w:color w:val="000000"/>
                <w:sz w:val="21"/>
                <w:szCs w:val="21"/>
                <w:highlight w:val="none"/>
              </w:rPr>
              <w:t>2</w:t>
            </w:r>
          </w:p>
        </w:tc>
        <w:tc>
          <w:tcPr>
            <w:tcW w:w="1669" w:type="dxa"/>
            <w:vMerge w:val="restart"/>
            <w:noWrap w:val="0"/>
            <w:vAlign w:val="center"/>
          </w:tcPr>
          <w:p>
            <w:pPr>
              <w:pStyle w:val="6"/>
              <w:spacing w:line="360" w:lineRule="auto"/>
              <w:jc w:val="center"/>
              <w:rPr>
                <w:rFonts w:hint="eastAsia" w:hAnsi="宋体" w:eastAsia="宋体" w:cs="宋体"/>
                <w:color w:val="000000"/>
                <w:sz w:val="21"/>
                <w:szCs w:val="21"/>
                <w:highlight w:val="none"/>
              </w:rPr>
            </w:pPr>
            <w:r>
              <w:rPr>
                <w:rFonts w:hint="eastAsia" w:hAnsi="宋体" w:eastAsia="宋体" w:cs="宋体"/>
                <w:color w:val="000000"/>
                <w:sz w:val="21"/>
                <w:szCs w:val="21"/>
                <w:highlight w:val="none"/>
              </w:rPr>
              <w:t>商用</w:t>
            </w:r>
          </w:p>
          <w:p>
            <w:pPr>
              <w:pStyle w:val="6"/>
              <w:spacing w:line="360" w:lineRule="auto"/>
              <w:jc w:val="center"/>
              <w:rPr>
                <w:rFonts w:hAnsi="宋体" w:eastAsia="宋体" w:cs="宋体"/>
                <w:color w:val="000000"/>
                <w:sz w:val="21"/>
                <w:szCs w:val="21"/>
                <w:highlight w:val="none"/>
              </w:rPr>
            </w:pPr>
            <w:r>
              <w:rPr>
                <w:rFonts w:hint="eastAsia" w:hAnsi="宋体" w:eastAsia="宋体" w:cs="宋体"/>
                <w:color w:val="000000"/>
                <w:sz w:val="21"/>
                <w:szCs w:val="21"/>
                <w:highlight w:val="none"/>
              </w:rPr>
              <w:t>超声波燃气表</w:t>
            </w:r>
          </w:p>
        </w:tc>
        <w:tc>
          <w:tcPr>
            <w:tcW w:w="1446" w:type="dxa"/>
            <w:noWrap w:val="0"/>
            <w:vAlign w:val="center"/>
          </w:tcPr>
          <w:p>
            <w:pPr>
              <w:pStyle w:val="6"/>
              <w:spacing w:line="360" w:lineRule="auto"/>
              <w:jc w:val="center"/>
              <w:rPr>
                <w:rFonts w:hAnsi="宋体" w:eastAsia="宋体" w:cs="宋体"/>
                <w:color w:val="000000"/>
                <w:sz w:val="21"/>
                <w:szCs w:val="21"/>
                <w:highlight w:val="none"/>
              </w:rPr>
            </w:pPr>
            <w:r>
              <w:rPr>
                <w:rFonts w:hint="eastAsia" w:hAnsi="宋体" w:eastAsia="宋体" w:cs="宋体"/>
                <w:color w:val="000000"/>
                <w:sz w:val="21"/>
                <w:szCs w:val="21"/>
                <w:highlight w:val="none"/>
              </w:rPr>
              <w:t>商用G6</w:t>
            </w:r>
          </w:p>
        </w:tc>
        <w:tc>
          <w:tcPr>
            <w:tcW w:w="854" w:type="dxa"/>
            <w:noWrap w:val="0"/>
            <w:vAlign w:val="center"/>
          </w:tcPr>
          <w:p>
            <w:pPr>
              <w:pStyle w:val="6"/>
              <w:spacing w:line="360" w:lineRule="auto"/>
              <w:ind w:firstLine="210" w:firstLineChars="100"/>
              <w:rPr>
                <w:rFonts w:hint="eastAsia" w:hAnsi="宋体" w:eastAsia="宋体" w:cs="宋体"/>
                <w:color w:val="000000"/>
                <w:sz w:val="21"/>
                <w:szCs w:val="21"/>
                <w:highlight w:val="none"/>
              </w:rPr>
            </w:pPr>
            <w:r>
              <w:rPr>
                <w:rFonts w:hint="eastAsia" w:hAnsi="宋体" w:eastAsia="宋体" w:cs="宋体"/>
                <w:color w:val="000000"/>
                <w:sz w:val="21"/>
                <w:szCs w:val="21"/>
                <w:highlight w:val="none"/>
              </w:rPr>
              <w:t>只</w:t>
            </w:r>
          </w:p>
        </w:tc>
        <w:tc>
          <w:tcPr>
            <w:tcW w:w="1423" w:type="dxa"/>
            <w:noWrap w:val="0"/>
            <w:vAlign w:val="center"/>
          </w:tcPr>
          <w:p>
            <w:pPr>
              <w:pStyle w:val="6"/>
              <w:jc w:val="center"/>
              <w:rPr>
                <w:rFonts w:hAnsi="宋体" w:eastAsia="宋体" w:cs="宋体"/>
                <w:color w:val="000000"/>
                <w:sz w:val="21"/>
                <w:szCs w:val="21"/>
                <w:highlight w:val="none"/>
              </w:rPr>
            </w:pPr>
            <w:r>
              <w:rPr>
                <w:rFonts w:hint="eastAsia" w:hAnsi="宋体" w:eastAsia="宋体" w:cs="宋体"/>
                <w:color w:val="000000"/>
                <w:sz w:val="21"/>
                <w:szCs w:val="21"/>
                <w:highlight w:val="none"/>
              </w:rPr>
              <w:t>130</w:t>
            </w:r>
          </w:p>
        </w:tc>
        <w:tc>
          <w:tcPr>
            <w:tcW w:w="1523" w:type="dxa"/>
            <w:noWrap w:val="0"/>
            <w:vAlign w:val="center"/>
          </w:tcPr>
          <w:p>
            <w:pPr>
              <w:pStyle w:val="6"/>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2085.25</w:t>
            </w:r>
          </w:p>
        </w:tc>
        <w:tc>
          <w:tcPr>
            <w:tcW w:w="1715" w:type="dxa"/>
            <w:vMerge w:val="continue"/>
            <w:noWrap w:val="0"/>
            <w:vAlign w:val="center"/>
          </w:tcPr>
          <w:p>
            <w:pPr>
              <w:pStyle w:val="6"/>
              <w:spacing w:line="360" w:lineRule="auto"/>
              <w:jc w:val="center"/>
              <w:rPr>
                <w:rFonts w:hint="eastAsia"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77" w:type="dxa"/>
            <w:vMerge w:val="continue"/>
            <w:noWrap w:val="0"/>
            <w:vAlign w:val="center"/>
          </w:tcPr>
          <w:p>
            <w:pPr>
              <w:pStyle w:val="6"/>
              <w:spacing w:line="360" w:lineRule="auto"/>
              <w:jc w:val="center"/>
              <w:rPr>
                <w:rFonts w:hint="eastAsia" w:hAnsi="宋体" w:eastAsia="宋体" w:cs="宋体"/>
                <w:color w:val="000000"/>
                <w:sz w:val="21"/>
                <w:szCs w:val="21"/>
                <w:highlight w:val="none"/>
              </w:rPr>
            </w:pPr>
          </w:p>
        </w:tc>
        <w:tc>
          <w:tcPr>
            <w:tcW w:w="1669" w:type="dxa"/>
            <w:vMerge w:val="continue"/>
            <w:noWrap w:val="0"/>
            <w:vAlign w:val="center"/>
          </w:tcPr>
          <w:p>
            <w:pPr>
              <w:pStyle w:val="6"/>
              <w:spacing w:line="360" w:lineRule="auto"/>
              <w:jc w:val="center"/>
              <w:rPr>
                <w:rFonts w:hint="eastAsia" w:hAnsi="宋体" w:eastAsia="宋体" w:cs="宋体"/>
                <w:color w:val="000000"/>
                <w:sz w:val="21"/>
                <w:szCs w:val="21"/>
                <w:highlight w:val="none"/>
              </w:rPr>
            </w:pPr>
          </w:p>
        </w:tc>
        <w:tc>
          <w:tcPr>
            <w:tcW w:w="1446" w:type="dxa"/>
            <w:noWrap w:val="0"/>
            <w:vAlign w:val="center"/>
          </w:tcPr>
          <w:p>
            <w:pPr>
              <w:pStyle w:val="6"/>
              <w:spacing w:line="360" w:lineRule="auto"/>
              <w:jc w:val="center"/>
              <w:rPr>
                <w:rFonts w:hAnsi="宋体" w:eastAsia="宋体" w:cs="宋体"/>
                <w:color w:val="000000"/>
                <w:sz w:val="21"/>
                <w:szCs w:val="21"/>
                <w:highlight w:val="none"/>
              </w:rPr>
            </w:pPr>
            <w:r>
              <w:rPr>
                <w:rFonts w:hint="eastAsia" w:hAnsi="宋体" w:eastAsia="宋体" w:cs="宋体"/>
                <w:color w:val="000000"/>
                <w:sz w:val="21"/>
                <w:szCs w:val="21"/>
                <w:highlight w:val="none"/>
              </w:rPr>
              <w:t>商用G10</w:t>
            </w:r>
          </w:p>
        </w:tc>
        <w:tc>
          <w:tcPr>
            <w:tcW w:w="854" w:type="dxa"/>
            <w:noWrap w:val="0"/>
            <w:vAlign w:val="center"/>
          </w:tcPr>
          <w:p>
            <w:pPr>
              <w:pStyle w:val="6"/>
              <w:spacing w:line="360" w:lineRule="auto"/>
              <w:ind w:firstLine="210" w:firstLineChars="100"/>
              <w:rPr>
                <w:rFonts w:hint="eastAsia" w:hAnsi="宋体" w:eastAsia="宋体" w:cs="宋体"/>
                <w:color w:val="000000"/>
                <w:sz w:val="21"/>
                <w:szCs w:val="21"/>
                <w:highlight w:val="none"/>
              </w:rPr>
            </w:pPr>
            <w:r>
              <w:rPr>
                <w:rFonts w:hint="eastAsia" w:hAnsi="宋体" w:eastAsia="宋体" w:cs="宋体"/>
                <w:color w:val="000000"/>
                <w:sz w:val="21"/>
                <w:szCs w:val="21"/>
                <w:highlight w:val="none"/>
              </w:rPr>
              <w:t>只</w:t>
            </w:r>
          </w:p>
        </w:tc>
        <w:tc>
          <w:tcPr>
            <w:tcW w:w="1423" w:type="dxa"/>
            <w:noWrap w:val="0"/>
            <w:vAlign w:val="center"/>
          </w:tcPr>
          <w:p>
            <w:pPr>
              <w:pStyle w:val="6"/>
              <w:jc w:val="center"/>
              <w:rPr>
                <w:rFonts w:hAnsi="宋体" w:eastAsia="宋体" w:cs="宋体"/>
                <w:color w:val="000000"/>
                <w:sz w:val="21"/>
                <w:szCs w:val="21"/>
                <w:highlight w:val="none"/>
              </w:rPr>
            </w:pPr>
            <w:r>
              <w:rPr>
                <w:rFonts w:hint="eastAsia" w:hAnsi="宋体" w:eastAsia="宋体" w:cs="宋体"/>
                <w:color w:val="000000"/>
                <w:sz w:val="21"/>
                <w:szCs w:val="21"/>
                <w:highlight w:val="none"/>
              </w:rPr>
              <w:t>40</w:t>
            </w:r>
          </w:p>
        </w:tc>
        <w:tc>
          <w:tcPr>
            <w:tcW w:w="1523" w:type="dxa"/>
            <w:noWrap w:val="0"/>
            <w:vAlign w:val="center"/>
          </w:tcPr>
          <w:p>
            <w:pPr>
              <w:pStyle w:val="6"/>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3211</w:t>
            </w:r>
          </w:p>
        </w:tc>
        <w:tc>
          <w:tcPr>
            <w:tcW w:w="1715" w:type="dxa"/>
            <w:vMerge w:val="continue"/>
            <w:noWrap w:val="0"/>
            <w:vAlign w:val="center"/>
          </w:tcPr>
          <w:p>
            <w:pPr>
              <w:pStyle w:val="6"/>
              <w:spacing w:line="360" w:lineRule="auto"/>
              <w:jc w:val="center"/>
              <w:rPr>
                <w:rFonts w:hint="eastAsia"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77" w:type="dxa"/>
            <w:vMerge w:val="continue"/>
            <w:noWrap w:val="0"/>
            <w:vAlign w:val="center"/>
          </w:tcPr>
          <w:p>
            <w:pPr>
              <w:pStyle w:val="6"/>
              <w:spacing w:line="360" w:lineRule="auto"/>
              <w:jc w:val="center"/>
              <w:rPr>
                <w:rFonts w:hint="eastAsia" w:hAnsi="宋体" w:eastAsia="宋体" w:cs="宋体"/>
                <w:color w:val="000000"/>
                <w:sz w:val="21"/>
                <w:szCs w:val="21"/>
                <w:highlight w:val="none"/>
              </w:rPr>
            </w:pPr>
          </w:p>
        </w:tc>
        <w:tc>
          <w:tcPr>
            <w:tcW w:w="1669" w:type="dxa"/>
            <w:vMerge w:val="continue"/>
            <w:noWrap w:val="0"/>
            <w:vAlign w:val="center"/>
          </w:tcPr>
          <w:p>
            <w:pPr>
              <w:pStyle w:val="6"/>
              <w:spacing w:line="360" w:lineRule="auto"/>
              <w:jc w:val="center"/>
              <w:rPr>
                <w:rFonts w:hint="eastAsia" w:hAnsi="宋体" w:eastAsia="宋体" w:cs="宋体"/>
                <w:color w:val="000000"/>
                <w:sz w:val="21"/>
                <w:szCs w:val="21"/>
                <w:highlight w:val="none"/>
              </w:rPr>
            </w:pPr>
          </w:p>
        </w:tc>
        <w:tc>
          <w:tcPr>
            <w:tcW w:w="1446" w:type="dxa"/>
            <w:noWrap w:val="0"/>
            <w:vAlign w:val="center"/>
          </w:tcPr>
          <w:p>
            <w:pPr>
              <w:pStyle w:val="6"/>
              <w:spacing w:line="360" w:lineRule="auto"/>
              <w:jc w:val="center"/>
              <w:rPr>
                <w:rFonts w:hint="eastAsia" w:hAnsi="宋体" w:eastAsia="宋体" w:cs="宋体"/>
                <w:color w:val="000000"/>
                <w:sz w:val="21"/>
                <w:szCs w:val="21"/>
                <w:highlight w:val="none"/>
              </w:rPr>
            </w:pPr>
            <w:r>
              <w:rPr>
                <w:rFonts w:hint="eastAsia" w:hAnsi="宋体" w:eastAsia="宋体" w:cs="宋体"/>
                <w:color w:val="000000"/>
                <w:sz w:val="21"/>
                <w:szCs w:val="21"/>
                <w:highlight w:val="none"/>
              </w:rPr>
              <w:t>商用G16</w:t>
            </w:r>
          </w:p>
        </w:tc>
        <w:tc>
          <w:tcPr>
            <w:tcW w:w="854" w:type="dxa"/>
            <w:noWrap w:val="0"/>
            <w:vAlign w:val="center"/>
          </w:tcPr>
          <w:p>
            <w:pPr>
              <w:pStyle w:val="6"/>
              <w:spacing w:line="360" w:lineRule="auto"/>
              <w:ind w:firstLine="210" w:firstLineChars="100"/>
              <w:rPr>
                <w:rFonts w:hint="eastAsia" w:hAnsi="宋体" w:eastAsia="宋体" w:cs="宋体"/>
                <w:color w:val="000000"/>
                <w:sz w:val="21"/>
                <w:szCs w:val="21"/>
                <w:highlight w:val="none"/>
              </w:rPr>
            </w:pPr>
            <w:r>
              <w:rPr>
                <w:rFonts w:hint="eastAsia" w:hAnsi="宋体" w:eastAsia="宋体" w:cs="宋体"/>
                <w:color w:val="000000"/>
                <w:sz w:val="21"/>
                <w:szCs w:val="21"/>
                <w:highlight w:val="none"/>
              </w:rPr>
              <w:t>只</w:t>
            </w:r>
          </w:p>
        </w:tc>
        <w:tc>
          <w:tcPr>
            <w:tcW w:w="1423" w:type="dxa"/>
            <w:noWrap w:val="0"/>
            <w:vAlign w:val="center"/>
          </w:tcPr>
          <w:p>
            <w:pPr>
              <w:pStyle w:val="6"/>
              <w:jc w:val="center"/>
              <w:rPr>
                <w:rFonts w:hAnsi="宋体" w:eastAsia="宋体" w:cs="宋体"/>
                <w:color w:val="000000"/>
                <w:sz w:val="21"/>
                <w:szCs w:val="21"/>
                <w:highlight w:val="none"/>
              </w:rPr>
            </w:pPr>
            <w:r>
              <w:rPr>
                <w:rFonts w:hint="eastAsia" w:hAnsi="宋体" w:eastAsia="宋体" w:cs="宋体"/>
                <w:color w:val="000000"/>
                <w:sz w:val="21"/>
                <w:szCs w:val="21"/>
                <w:highlight w:val="none"/>
              </w:rPr>
              <w:t>70</w:t>
            </w:r>
          </w:p>
        </w:tc>
        <w:tc>
          <w:tcPr>
            <w:tcW w:w="1523" w:type="dxa"/>
            <w:noWrap w:val="0"/>
            <w:vAlign w:val="center"/>
          </w:tcPr>
          <w:p>
            <w:pPr>
              <w:pStyle w:val="6"/>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4230.35</w:t>
            </w:r>
          </w:p>
        </w:tc>
        <w:tc>
          <w:tcPr>
            <w:tcW w:w="1715" w:type="dxa"/>
            <w:vMerge w:val="continue"/>
            <w:noWrap w:val="0"/>
            <w:vAlign w:val="center"/>
          </w:tcPr>
          <w:p>
            <w:pPr>
              <w:pStyle w:val="6"/>
              <w:spacing w:line="360" w:lineRule="auto"/>
              <w:jc w:val="center"/>
              <w:rPr>
                <w:rFonts w:hint="eastAsia"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77" w:type="dxa"/>
            <w:vMerge w:val="continue"/>
            <w:noWrap w:val="0"/>
            <w:vAlign w:val="center"/>
          </w:tcPr>
          <w:p>
            <w:pPr>
              <w:pStyle w:val="6"/>
              <w:spacing w:line="360" w:lineRule="auto"/>
              <w:jc w:val="center"/>
              <w:rPr>
                <w:rFonts w:hint="eastAsia" w:hAnsi="宋体" w:eastAsia="宋体" w:cs="宋体"/>
                <w:color w:val="000000"/>
                <w:sz w:val="21"/>
                <w:szCs w:val="21"/>
                <w:highlight w:val="none"/>
              </w:rPr>
            </w:pPr>
          </w:p>
        </w:tc>
        <w:tc>
          <w:tcPr>
            <w:tcW w:w="1669" w:type="dxa"/>
            <w:vMerge w:val="continue"/>
            <w:noWrap w:val="0"/>
            <w:vAlign w:val="center"/>
          </w:tcPr>
          <w:p>
            <w:pPr>
              <w:pStyle w:val="6"/>
              <w:spacing w:line="360" w:lineRule="auto"/>
              <w:jc w:val="center"/>
              <w:rPr>
                <w:rFonts w:hint="eastAsia" w:hAnsi="宋体" w:eastAsia="宋体" w:cs="宋体"/>
                <w:color w:val="000000"/>
                <w:sz w:val="21"/>
                <w:szCs w:val="21"/>
                <w:highlight w:val="none"/>
              </w:rPr>
            </w:pPr>
          </w:p>
        </w:tc>
        <w:tc>
          <w:tcPr>
            <w:tcW w:w="1446" w:type="dxa"/>
            <w:noWrap w:val="0"/>
            <w:vAlign w:val="center"/>
          </w:tcPr>
          <w:p>
            <w:pPr>
              <w:pStyle w:val="6"/>
              <w:spacing w:line="360" w:lineRule="auto"/>
              <w:jc w:val="center"/>
              <w:rPr>
                <w:rFonts w:hAnsi="宋体" w:eastAsia="宋体" w:cs="宋体"/>
                <w:color w:val="000000"/>
                <w:sz w:val="21"/>
                <w:szCs w:val="21"/>
                <w:highlight w:val="none"/>
              </w:rPr>
            </w:pPr>
            <w:r>
              <w:rPr>
                <w:rFonts w:hint="eastAsia" w:hAnsi="宋体" w:eastAsia="宋体" w:cs="宋体"/>
                <w:color w:val="000000"/>
                <w:sz w:val="21"/>
                <w:szCs w:val="21"/>
                <w:highlight w:val="none"/>
              </w:rPr>
              <w:t>商用G25</w:t>
            </w:r>
          </w:p>
        </w:tc>
        <w:tc>
          <w:tcPr>
            <w:tcW w:w="854" w:type="dxa"/>
            <w:noWrap w:val="0"/>
            <w:vAlign w:val="center"/>
          </w:tcPr>
          <w:p>
            <w:pPr>
              <w:pStyle w:val="6"/>
              <w:spacing w:line="360" w:lineRule="auto"/>
              <w:ind w:firstLine="210" w:firstLineChars="100"/>
              <w:rPr>
                <w:rFonts w:hint="eastAsia" w:hAnsi="宋体" w:eastAsia="宋体" w:cs="宋体"/>
                <w:color w:val="000000"/>
                <w:sz w:val="21"/>
                <w:szCs w:val="21"/>
                <w:highlight w:val="none"/>
              </w:rPr>
            </w:pPr>
            <w:r>
              <w:rPr>
                <w:rFonts w:hint="eastAsia" w:hAnsi="宋体" w:eastAsia="宋体" w:cs="宋体"/>
                <w:color w:val="000000"/>
                <w:sz w:val="21"/>
                <w:szCs w:val="21"/>
                <w:highlight w:val="none"/>
              </w:rPr>
              <w:t>只</w:t>
            </w:r>
          </w:p>
        </w:tc>
        <w:tc>
          <w:tcPr>
            <w:tcW w:w="1423" w:type="dxa"/>
            <w:noWrap w:val="0"/>
            <w:vAlign w:val="center"/>
          </w:tcPr>
          <w:p>
            <w:pPr>
              <w:pStyle w:val="6"/>
              <w:jc w:val="center"/>
              <w:rPr>
                <w:rFonts w:hAnsi="宋体" w:eastAsia="宋体" w:cs="宋体"/>
                <w:color w:val="000000"/>
                <w:sz w:val="21"/>
                <w:szCs w:val="21"/>
                <w:highlight w:val="none"/>
              </w:rPr>
            </w:pPr>
            <w:r>
              <w:rPr>
                <w:rFonts w:hint="eastAsia" w:hAnsi="宋体" w:eastAsia="宋体" w:cs="宋体"/>
                <w:color w:val="000000"/>
                <w:sz w:val="21"/>
                <w:szCs w:val="21"/>
                <w:highlight w:val="none"/>
              </w:rPr>
              <w:t>50</w:t>
            </w:r>
          </w:p>
        </w:tc>
        <w:tc>
          <w:tcPr>
            <w:tcW w:w="1523" w:type="dxa"/>
            <w:noWrap w:val="0"/>
            <w:vAlign w:val="center"/>
          </w:tcPr>
          <w:p>
            <w:pPr>
              <w:pStyle w:val="6"/>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5335.2</w:t>
            </w:r>
          </w:p>
        </w:tc>
        <w:tc>
          <w:tcPr>
            <w:tcW w:w="1715" w:type="dxa"/>
            <w:vMerge w:val="continue"/>
            <w:noWrap w:val="0"/>
            <w:vAlign w:val="center"/>
          </w:tcPr>
          <w:p>
            <w:pPr>
              <w:pStyle w:val="6"/>
              <w:spacing w:line="360" w:lineRule="auto"/>
              <w:jc w:val="center"/>
              <w:rPr>
                <w:rFonts w:hint="eastAsia"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77" w:type="dxa"/>
            <w:vMerge w:val="continue"/>
            <w:noWrap w:val="0"/>
            <w:vAlign w:val="center"/>
          </w:tcPr>
          <w:p>
            <w:pPr>
              <w:pStyle w:val="6"/>
              <w:spacing w:line="360" w:lineRule="auto"/>
              <w:jc w:val="center"/>
              <w:rPr>
                <w:rFonts w:hint="eastAsia" w:hAnsi="宋体" w:eastAsia="宋体" w:cs="宋体"/>
                <w:color w:val="000000"/>
                <w:sz w:val="21"/>
                <w:szCs w:val="21"/>
                <w:highlight w:val="none"/>
              </w:rPr>
            </w:pPr>
          </w:p>
        </w:tc>
        <w:tc>
          <w:tcPr>
            <w:tcW w:w="1669" w:type="dxa"/>
            <w:vMerge w:val="continue"/>
            <w:noWrap w:val="0"/>
            <w:vAlign w:val="center"/>
          </w:tcPr>
          <w:p>
            <w:pPr>
              <w:pStyle w:val="6"/>
              <w:spacing w:line="360" w:lineRule="auto"/>
              <w:jc w:val="center"/>
              <w:rPr>
                <w:rFonts w:hint="eastAsia" w:hAnsi="宋体" w:eastAsia="宋体" w:cs="宋体"/>
                <w:color w:val="000000"/>
                <w:sz w:val="21"/>
                <w:szCs w:val="21"/>
                <w:highlight w:val="none"/>
              </w:rPr>
            </w:pPr>
          </w:p>
        </w:tc>
        <w:tc>
          <w:tcPr>
            <w:tcW w:w="1446" w:type="dxa"/>
            <w:noWrap w:val="0"/>
            <w:vAlign w:val="center"/>
          </w:tcPr>
          <w:p>
            <w:pPr>
              <w:pStyle w:val="6"/>
              <w:spacing w:line="360" w:lineRule="auto"/>
              <w:jc w:val="center"/>
              <w:rPr>
                <w:rFonts w:hAnsi="宋体" w:eastAsia="宋体" w:cs="宋体"/>
                <w:color w:val="000000"/>
                <w:sz w:val="21"/>
                <w:szCs w:val="21"/>
                <w:highlight w:val="none"/>
              </w:rPr>
            </w:pPr>
            <w:r>
              <w:rPr>
                <w:rFonts w:hint="eastAsia" w:hAnsi="宋体" w:eastAsia="宋体" w:cs="宋体"/>
                <w:color w:val="000000"/>
                <w:sz w:val="21"/>
                <w:szCs w:val="21"/>
                <w:highlight w:val="none"/>
              </w:rPr>
              <w:t>商用G40</w:t>
            </w:r>
          </w:p>
        </w:tc>
        <w:tc>
          <w:tcPr>
            <w:tcW w:w="854" w:type="dxa"/>
            <w:noWrap w:val="0"/>
            <w:vAlign w:val="center"/>
          </w:tcPr>
          <w:p>
            <w:pPr>
              <w:pStyle w:val="6"/>
              <w:spacing w:line="360" w:lineRule="auto"/>
              <w:ind w:firstLine="210" w:firstLineChars="100"/>
              <w:rPr>
                <w:rFonts w:hint="eastAsia" w:hAnsi="宋体" w:eastAsia="宋体" w:cs="宋体"/>
                <w:color w:val="000000"/>
                <w:sz w:val="21"/>
                <w:szCs w:val="21"/>
                <w:highlight w:val="none"/>
              </w:rPr>
            </w:pPr>
            <w:r>
              <w:rPr>
                <w:rFonts w:hint="eastAsia" w:hAnsi="宋体" w:eastAsia="宋体" w:cs="宋体"/>
                <w:color w:val="000000"/>
                <w:sz w:val="21"/>
                <w:szCs w:val="21"/>
                <w:highlight w:val="none"/>
              </w:rPr>
              <w:t>只</w:t>
            </w:r>
          </w:p>
        </w:tc>
        <w:tc>
          <w:tcPr>
            <w:tcW w:w="1423" w:type="dxa"/>
            <w:noWrap w:val="0"/>
            <w:vAlign w:val="center"/>
          </w:tcPr>
          <w:p>
            <w:pPr>
              <w:pStyle w:val="6"/>
              <w:jc w:val="center"/>
              <w:rPr>
                <w:rFonts w:hAnsi="宋体" w:eastAsia="宋体" w:cs="宋体"/>
                <w:color w:val="000000"/>
                <w:sz w:val="21"/>
                <w:szCs w:val="21"/>
                <w:highlight w:val="none"/>
              </w:rPr>
            </w:pPr>
            <w:r>
              <w:rPr>
                <w:rFonts w:hint="eastAsia" w:hAnsi="宋体" w:eastAsia="宋体" w:cs="宋体"/>
                <w:color w:val="000000"/>
                <w:sz w:val="21"/>
                <w:szCs w:val="21"/>
                <w:highlight w:val="none"/>
              </w:rPr>
              <w:t>38</w:t>
            </w:r>
          </w:p>
        </w:tc>
        <w:tc>
          <w:tcPr>
            <w:tcW w:w="1523" w:type="dxa"/>
            <w:noWrap w:val="0"/>
            <w:vAlign w:val="center"/>
          </w:tcPr>
          <w:p>
            <w:pPr>
              <w:pStyle w:val="6"/>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7180.1</w:t>
            </w:r>
          </w:p>
        </w:tc>
        <w:tc>
          <w:tcPr>
            <w:tcW w:w="1715" w:type="dxa"/>
            <w:vMerge w:val="continue"/>
            <w:noWrap w:val="0"/>
            <w:vAlign w:val="center"/>
          </w:tcPr>
          <w:p>
            <w:pPr>
              <w:pStyle w:val="6"/>
              <w:spacing w:line="360" w:lineRule="auto"/>
              <w:jc w:val="center"/>
              <w:rPr>
                <w:rFonts w:hint="eastAsia" w:hAnsi="宋体" w:eastAsia="宋体" w:cs="宋体"/>
                <w:color w:val="000000"/>
                <w:sz w:val="21"/>
                <w:szCs w:val="21"/>
                <w:highlight w:val="none"/>
              </w:rPr>
            </w:pPr>
          </w:p>
        </w:tc>
      </w:tr>
    </w:tbl>
    <w:p>
      <w:pPr>
        <w:pStyle w:val="7"/>
        <w:ind w:firstLine="420"/>
        <w:rPr>
          <w:rFonts w:hint="default" w:ascii="Times New Roman" w:eastAsia="宋体"/>
          <w:kern w:val="2"/>
          <w:sz w:val="21"/>
          <w:szCs w:val="20"/>
          <w:highlight w:val="none"/>
          <w:lang w:val="en-US" w:eastAsia="zh-CN"/>
        </w:rPr>
      </w:pPr>
      <w:r>
        <w:rPr>
          <w:rFonts w:hint="eastAsia" w:ascii="Times New Roman"/>
          <w:kern w:val="2"/>
          <w:sz w:val="21"/>
          <w:szCs w:val="20"/>
          <w:highlight w:val="none"/>
        </w:rPr>
        <w:t>注：</w:t>
      </w:r>
    </w:p>
    <w:p>
      <w:pPr>
        <w:pStyle w:val="7"/>
        <w:ind w:firstLine="420"/>
        <w:rPr>
          <w:rFonts w:hint="eastAsia" w:ascii="Times New Roman"/>
          <w:kern w:val="2"/>
          <w:sz w:val="21"/>
          <w:szCs w:val="20"/>
          <w:highlight w:val="none"/>
        </w:rPr>
      </w:pPr>
      <w:r>
        <w:rPr>
          <w:rFonts w:hint="eastAsia" w:ascii="Times New Roman"/>
          <w:kern w:val="2"/>
          <w:sz w:val="21"/>
          <w:szCs w:val="20"/>
          <w:highlight w:val="none"/>
        </w:rPr>
        <w:t>1、本次招标为202</w:t>
      </w:r>
      <w:r>
        <w:rPr>
          <w:rFonts w:ascii="Times New Roman"/>
          <w:kern w:val="2"/>
          <w:sz w:val="21"/>
          <w:szCs w:val="20"/>
          <w:highlight w:val="none"/>
        </w:rPr>
        <w:t>3</w:t>
      </w:r>
      <w:r>
        <w:rPr>
          <w:rFonts w:hint="eastAsia" w:ascii="Times New Roman"/>
          <w:kern w:val="2"/>
          <w:sz w:val="21"/>
          <w:szCs w:val="20"/>
          <w:highlight w:val="none"/>
        </w:rPr>
        <w:t>-202</w:t>
      </w:r>
      <w:r>
        <w:rPr>
          <w:rFonts w:ascii="Times New Roman"/>
          <w:kern w:val="2"/>
          <w:sz w:val="21"/>
          <w:szCs w:val="20"/>
          <w:highlight w:val="none"/>
        </w:rPr>
        <w:t>5</w:t>
      </w:r>
      <w:r>
        <w:rPr>
          <w:rFonts w:hint="eastAsia" w:ascii="Times New Roman"/>
          <w:kern w:val="2"/>
          <w:sz w:val="21"/>
          <w:szCs w:val="20"/>
          <w:highlight w:val="none"/>
        </w:rPr>
        <w:t>年度</w:t>
      </w:r>
      <w:r>
        <w:rPr>
          <w:rFonts w:hint="eastAsia" w:ascii="Times New Roman"/>
          <w:kern w:val="2"/>
          <w:sz w:val="21"/>
          <w:szCs w:val="20"/>
          <w:highlight w:val="none"/>
          <w:lang w:val="en-US" w:eastAsia="zh-CN"/>
        </w:rPr>
        <w:t>超声波</w:t>
      </w:r>
      <w:r>
        <w:rPr>
          <w:rFonts w:hint="eastAsia" w:ascii="Times New Roman"/>
          <w:kern w:val="2"/>
          <w:sz w:val="21"/>
          <w:szCs w:val="20"/>
          <w:highlight w:val="none"/>
        </w:rPr>
        <w:t>燃气表采购，采购人不保证数量的准确性，最终按实际需求量供货及结算。请投标人自行考虑实际需求数量的差异可能产生的所有风险；</w:t>
      </w:r>
    </w:p>
    <w:p>
      <w:pPr>
        <w:snapToGrid w:val="0"/>
        <w:spacing w:line="360" w:lineRule="auto"/>
        <w:ind w:firstLine="420" w:firstLineChars="200"/>
        <w:jc w:val="left"/>
        <w:rPr>
          <w:rFonts w:hint="eastAsia" w:ascii="宋体" w:hAnsi="宋体"/>
          <w:color w:val="000000"/>
          <w:szCs w:val="21"/>
          <w:highlight w:val="none"/>
        </w:rPr>
      </w:pPr>
      <w:r>
        <w:rPr>
          <w:rFonts w:hint="eastAsia" w:ascii="宋体" w:hAnsi="宋体"/>
          <w:color w:val="000000"/>
          <w:szCs w:val="21"/>
          <w:highlight w:val="none"/>
        </w:rPr>
        <w:t>2、供货期限：</w:t>
      </w:r>
      <w:r>
        <w:rPr>
          <w:rFonts w:hint="eastAsia"/>
          <w:highlight w:val="none"/>
        </w:rPr>
        <w:t>本项目供货期为2年，具体由采购人（含经甲方授权许可的甲方子公司、控股子公司、分公司等关联单位，或其指定第三人）根据其生产、施工需要以电话或邮件等形式向乙方提出供货通知，每批次</w:t>
      </w:r>
      <w:r>
        <w:rPr>
          <w:rFonts w:hint="eastAsia"/>
          <w:szCs w:val="22"/>
          <w:highlight w:val="none"/>
        </w:rPr>
        <w:t>采购的交货期为接到采购订单</w:t>
      </w:r>
      <w:r>
        <w:rPr>
          <w:rFonts w:hint="eastAsia"/>
          <w:highlight w:val="none"/>
        </w:rPr>
        <w:t xml:space="preserve">后10个日历天（含第三方法定检测）。 </w:t>
      </w:r>
    </w:p>
    <w:p>
      <w:pPr>
        <w:spacing w:line="360" w:lineRule="auto"/>
        <w:ind w:left="-17" w:leftChars="-8" w:firstLine="436" w:firstLineChars="208"/>
        <w:rPr>
          <w:rFonts w:hint="eastAsia" w:ascii="宋体" w:hAnsi="宋体"/>
          <w:szCs w:val="21"/>
          <w:highlight w:val="none"/>
        </w:rPr>
      </w:pPr>
      <w:r>
        <w:rPr>
          <w:rFonts w:hint="eastAsia" w:ascii="宋体" w:hAnsi="宋体"/>
          <w:color w:val="000000"/>
          <w:szCs w:val="21"/>
          <w:highlight w:val="none"/>
        </w:rPr>
        <w:t>3、交货地点：</w:t>
      </w:r>
      <w:r>
        <w:rPr>
          <w:rFonts w:hint="eastAsia" w:ascii="宋体" w:hAnsi="宋体"/>
          <w:szCs w:val="21"/>
          <w:highlight w:val="none"/>
        </w:rPr>
        <w:t>甲方指定地点</w:t>
      </w:r>
    </w:p>
    <w:p>
      <w:pPr>
        <w:spacing w:line="360" w:lineRule="auto"/>
        <w:ind w:left="-17" w:leftChars="-8" w:firstLine="436" w:firstLineChars="208"/>
        <w:rPr>
          <w:rFonts w:hAnsi="宋体"/>
          <w:szCs w:val="21"/>
          <w:highlight w:val="none"/>
        </w:rPr>
      </w:pPr>
      <w:r>
        <w:rPr>
          <w:rFonts w:hint="eastAsia" w:hAnsi="宋体"/>
          <w:szCs w:val="21"/>
          <w:highlight w:val="none"/>
        </w:rPr>
        <w:t>4、产品免费质保期：自安装验收合格之日起不低于</w:t>
      </w:r>
      <w:r>
        <w:rPr>
          <w:rFonts w:hint="eastAsia" w:hAnsi="宋体"/>
          <w:szCs w:val="21"/>
          <w:highlight w:val="none"/>
          <w:lang w:val="en-US" w:eastAsia="zh-CN"/>
        </w:rPr>
        <w:t>3</w:t>
      </w:r>
      <w:r>
        <w:rPr>
          <w:rFonts w:hint="eastAsia" w:hAnsi="宋体"/>
          <w:szCs w:val="21"/>
          <w:highlight w:val="none"/>
        </w:rPr>
        <w:t>年(满</w:t>
      </w:r>
      <w:r>
        <w:rPr>
          <w:rFonts w:hint="eastAsia" w:hAnsi="宋体"/>
          <w:szCs w:val="21"/>
          <w:highlight w:val="none"/>
          <w:lang w:val="en-US" w:eastAsia="zh-CN"/>
        </w:rPr>
        <w:t>3</w:t>
      </w:r>
      <w:r>
        <w:rPr>
          <w:rFonts w:hint="eastAsia" w:hAnsi="宋体"/>
          <w:szCs w:val="21"/>
          <w:highlight w:val="none"/>
        </w:rPr>
        <w:t>年但不满</w:t>
      </w:r>
      <w:r>
        <w:rPr>
          <w:rFonts w:hint="eastAsia" w:hAnsi="宋体"/>
          <w:kern w:val="0"/>
          <w:szCs w:val="21"/>
          <w:highlight w:val="none"/>
        </w:rPr>
        <w:t>500</w:t>
      </w:r>
      <w:r>
        <w:rPr>
          <w:rFonts w:hint="eastAsia" w:hAnsi="宋体"/>
          <w:kern w:val="0"/>
          <w:szCs w:val="21"/>
          <w:highlight w:val="none"/>
          <w:lang w:val="en-US" w:eastAsia="zh-CN"/>
        </w:rPr>
        <w:t>0m</w:t>
      </w:r>
      <w:r>
        <w:rPr>
          <w:rFonts w:hint="eastAsia" w:hAnsi="宋体"/>
          <w:kern w:val="0"/>
          <w:szCs w:val="21"/>
          <w:highlight w:val="none"/>
          <w:vertAlign w:val="superscript"/>
        </w:rPr>
        <w:t>3</w:t>
      </w:r>
      <w:r>
        <w:rPr>
          <w:rFonts w:hint="eastAsia" w:hAnsi="宋体"/>
          <w:szCs w:val="21"/>
          <w:highlight w:val="none"/>
        </w:rPr>
        <w:t>的,质保期至用满</w:t>
      </w:r>
      <w:r>
        <w:rPr>
          <w:rFonts w:hint="eastAsia" w:hAnsi="宋体"/>
          <w:kern w:val="0"/>
          <w:szCs w:val="21"/>
          <w:highlight w:val="none"/>
        </w:rPr>
        <w:t>500</w:t>
      </w:r>
      <w:r>
        <w:rPr>
          <w:rFonts w:hint="eastAsia" w:hAnsi="宋体"/>
          <w:kern w:val="0"/>
          <w:szCs w:val="21"/>
          <w:highlight w:val="none"/>
          <w:lang w:val="en-US" w:eastAsia="zh-CN"/>
        </w:rPr>
        <w:t>0m</w:t>
      </w:r>
      <w:r>
        <w:rPr>
          <w:rFonts w:hint="eastAsia" w:hAnsi="宋体"/>
          <w:kern w:val="0"/>
          <w:szCs w:val="21"/>
          <w:highlight w:val="none"/>
          <w:vertAlign w:val="superscript"/>
        </w:rPr>
        <w:t>3</w:t>
      </w:r>
      <w:r>
        <w:rPr>
          <w:rFonts w:hint="eastAsia" w:hAnsi="宋体"/>
          <w:szCs w:val="21"/>
          <w:highlight w:val="none"/>
        </w:rPr>
        <w:t xml:space="preserve">为止)，因产品质量问题产生的计量差由厂家承担，厂家以计量差损失的十倍赔偿采购人，且不受质保期限制。                                                                                                                                                                                                                                                                                                                    </w:t>
      </w:r>
    </w:p>
    <w:p>
      <w:pPr>
        <w:spacing w:line="360" w:lineRule="auto"/>
        <w:ind w:left="420" w:leftChars="200"/>
        <w:rPr>
          <w:rFonts w:ascii="宋体" w:hAnsi="宋体"/>
          <w:b/>
          <w:color w:val="000000"/>
          <w:szCs w:val="21"/>
          <w:highlight w:val="none"/>
        </w:rPr>
      </w:pPr>
      <w:r>
        <w:rPr>
          <w:rFonts w:hint="eastAsia" w:ascii="宋体" w:hAnsi="宋体"/>
          <w:b/>
          <w:color w:val="000000"/>
          <w:szCs w:val="21"/>
          <w:highlight w:val="none"/>
        </w:rPr>
        <w:t>五</w:t>
      </w:r>
      <w:r>
        <w:rPr>
          <w:rFonts w:ascii="宋体" w:hAnsi="宋体"/>
          <w:b/>
          <w:color w:val="000000"/>
          <w:szCs w:val="21"/>
          <w:highlight w:val="none"/>
        </w:rPr>
        <w:t>、合格投标人的基本条件</w:t>
      </w:r>
    </w:p>
    <w:p>
      <w:pPr>
        <w:spacing w:line="360" w:lineRule="auto"/>
        <w:ind w:left="-17" w:leftChars="-8" w:firstLine="436" w:firstLineChars="208"/>
        <w:rPr>
          <w:rFonts w:ascii="宋体" w:hAnsi="宋体"/>
          <w:color w:val="000000"/>
          <w:szCs w:val="21"/>
          <w:highlight w:val="none"/>
        </w:rPr>
      </w:pPr>
      <w:r>
        <w:rPr>
          <w:rFonts w:hint="eastAsia" w:ascii="宋体" w:hAnsi="宋体"/>
          <w:color w:val="000000"/>
          <w:szCs w:val="21"/>
          <w:highlight w:val="none"/>
        </w:rPr>
        <w:t>5.1具有独立承担民事责任的能力；</w:t>
      </w:r>
    </w:p>
    <w:p>
      <w:pPr>
        <w:spacing w:line="360" w:lineRule="auto"/>
        <w:ind w:left="-17" w:leftChars="-8" w:firstLine="436" w:firstLineChars="208"/>
        <w:rPr>
          <w:rFonts w:ascii="宋体" w:hAnsi="宋体"/>
          <w:color w:val="000000"/>
          <w:szCs w:val="21"/>
          <w:highlight w:val="none"/>
        </w:rPr>
      </w:pPr>
      <w:r>
        <w:rPr>
          <w:rFonts w:hint="eastAsia" w:ascii="宋体" w:hAnsi="宋体"/>
          <w:color w:val="000000"/>
          <w:szCs w:val="21"/>
          <w:highlight w:val="none"/>
        </w:rPr>
        <w:t>5.2</w:t>
      </w:r>
      <w:r>
        <w:rPr>
          <w:rFonts w:ascii="宋体" w:hAnsi="宋体"/>
          <w:color w:val="000000"/>
          <w:szCs w:val="21"/>
          <w:highlight w:val="none"/>
        </w:rPr>
        <w:t>具有良好的商业信誉和健全的财务会计制度；</w:t>
      </w:r>
    </w:p>
    <w:p>
      <w:pPr>
        <w:spacing w:line="360" w:lineRule="auto"/>
        <w:ind w:left="-17" w:leftChars="-8" w:firstLine="436" w:firstLineChars="208"/>
        <w:rPr>
          <w:rFonts w:ascii="宋体" w:hAnsi="宋体"/>
          <w:color w:val="000000"/>
          <w:szCs w:val="21"/>
          <w:highlight w:val="none"/>
        </w:rPr>
      </w:pPr>
      <w:r>
        <w:rPr>
          <w:rFonts w:hint="eastAsia" w:ascii="宋体" w:hAnsi="宋体"/>
          <w:color w:val="000000"/>
          <w:szCs w:val="21"/>
          <w:highlight w:val="none"/>
        </w:rPr>
        <w:t>5.3</w:t>
      </w:r>
      <w:r>
        <w:rPr>
          <w:rFonts w:ascii="宋体" w:hAnsi="宋体"/>
          <w:color w:val="000000"/>
          <w:szCs w:val="21"/>
          <w:highlight w:val="none"/>
        </w:rPr>
        <w:t>具有履行合同所必须的设备和专业技术能力；</w:t>
      </w:r>
    </w:p>
    <w:p>
      <w:pPr>
        <w:spacing w:line="360" w:lineRule="auto"/>
        <w:ind w:left="-17" w:leftChars="-8" w:firstLine="436" w:firstLineChars="208"/>
        <w:rPr>
          <w:rFonts w:ascii="宋体" w:hAnsi="宋体"/>
          <w:color w:val="000000"/>
          <w:szCs w:val="21"/>
          <w:highlight w:val="none"/>
        </w:rPr>
      </w:pPr>
      <w:r>
        <w:rPr>
          <w:rFonts w:hint="eastAsia" w:ascii="宋体" w:hAnsi="宋体"/>
          <w:color w:val="000000"/>
          <w:szCs w:val="21"/>
          <w:highlight w:val="none"/>
        </w:rPr>
        <w:t>5.4</w:t>
      </w:r>
      <w:r>
        <w:rPr>
          <w:rFonts w:ascii="宋体" w:hAnsi="宋体"/>
          <w:color w:val="000000"/>
          <w:szCs w:val="21"/>
          <w:highlight w:val="none"/>
        </w:rPr>
        <w:t>有依法缴纳税收和社会保障资金的良好记录；</w:t>
      </w:r>
    </w:p>
    <w:p>
      <w:pPr>
        <w:spacing w:line="360" w:lineRule="auto"/>
        <w:ind w:left="-17" w:leftChars="-8" w:firstLine="436" w:firstLineChars="208"/>
        <w:rPr>
          <w:rFonts w:ascii="宋体" w:hAnsi="宋体"/>
          <w:color w:val="000000"/>
          <w:szCs w:val="21"/>
          <w:highlight w:val="none"/>
        </w:rPr>
      </w:pPr>
      <w:r>
        <w:rPr>
          <w:rFonts w:hint="eastAsia" w:ascii="宋体" w:hAnsi="宋体"/>
          <w:color w:val="000000"/>
          <w:szCs w:val="21"/>
          <w:highlight w:val="none"/>
        </w:rPr>
        <w:t>5.5</w:t>
      </w:r>
      <w:r>
        <w:rPr>
          <w:rFonts w:ascii="宋体" w:hAnsi="宋体"/>
          <w:color w:val="000000"/>
          <w:szCs w:val="21"/>
          <w:highlight w:val="none"/>
        </w:rPr>
        <w:t>参加采购活动前</w:t>
      </w:r>
      <w:r>
        <w:rPr>
          <w:rFonts w:hint="eastAsia" w:ascii="宋体" w:hAnsi="宋体"/>
          <w:color w:val="000000"/>
          <w:szCs w:val="21"/>
          <w:highlight w:val="none"/>
        </w:rPr>
        <w:t>贰年</w:t>
      </w:r>
      <w:r>
        <w:rPr>
          <w:rFonts w:ascii="宋体" w:hAnsi="宋体"/>
          <w:color w:val="000000"/>
          <w:szCs w:val="21"/>
          <w:highlight w:val="none"/>
        </w:rPr>
        <w:t>内，在经营活动中没有重大违法记录；</w:t>
      </w:r>
    </w:p>
    <w:p>
      <w:pPr>
        <w:spacing w:line="360" w:lineRule="auto"/>
        <w:ind w:left="-17" w:leftChars="-8" w:firstLine="436" w:firstLineChars="208"/>
        <w:rPr>
          <w:rFonts w:ascii="宋体" w:hAnsi="宋体"/>
          <w:color w:val="000000"/>
          <w:szCs w:val="21"/>
          <w:highlight w:val="none"/>
        </w:rPr>
      </w:pPr>
      <w:r>
        <w:rPr>
          <w:rFonts w:hint="eastAsia" w:ascii="宋体" w:hAnsi="宋体"/>
          <w:color w:val="000000"/>
          <w:szCs w:val="21"/>
          <w:highlight w:val="none"/>
        </w:rPr>
        <w:t>5.6法律、行政法规规定的其他条件。</w:t>
      </w:r>
    </w:p>
    <w:p>
      <w:pPr>
        <w:spacing w:line="360" w:lineRule="auto"/>
        <w:ind w:left="-17" w:leftChars="-8" w:firstLine="436" w:firstLineChars="208"/>
        <w:rPr>
          <w:rFonts w:ascii="宋体" w:hAnsi="宋体"/>
          <w:color w:val="000000"/>
          <w:szCs w:val="21"/>
          <w:highlight w:val="none"/>
        </w:rPr>
      </w:pPr>
      <w:r>
        <w:rPr>
          <w:rFonts w:hint="eastAsia" w:ascii="宋体" w:hAnsi="宋体"/>
          <w:color w:val="000000"/>
          <w:szCs w:val="21"/>
          <w:highlight w:val="none"/>
        </w:rPr>
        <w:t>注：单位负责人为同一人或者存在直接控股、管理关系的不同供应商，不得参加同一合同项下的采购活动。</w:t>
      </w:r>
    </w:p>
    <w:p>
      <w:pPr>
        <w:ind w:left="420" w:leftChars="200"/>
        <w:rPr>
          <w:rFonts w:ascii="宋体" w:hAnsi="宋体"/>
          <w:b/>
          <w:color w:val="000000"/>
          <w:szCs w:val="21"/>
          <w:highlight w:val="none"/>
        </w:rPr>
      </w:pPr>
      <w:r>
        <w:rPr>
          <w:rFonts w:hint="eastAsia" w:ascii="宋体" w:hAnsi="宋体"/>
          <w:b/>
          <w:color w:val="000000"/>
          <w:szCs w:val="21"/>
          <w:highlight w:val="none"/>
        </w:rPr>
        <w:t>六</w:t>
      </w:r>
      <w:r>
        <w:rPr>
          <w:rFonts w:ascii="宋体" w:hAnsi="宋体"/>
          <w:b/>
          <w:color w:val="000000"/>
          <w:szCs w:val="21"/>
          <w:highlight w:val="none"/>
        </w:rPr>
        <w:t>、合格投标人特殊条件要求</w:t>
      </w:r>
    </w:p>
    <w:p>
      <w:pPr>
        <w:snapToGrid w:val="0"/>
        <w:spacing w:line="360" w:lineRule="auto"/>
        <w:ind w:firstLine="420" w:firstLineChars="200"/>
        <w:rPr>
          <w:rFonts w:ascii="宋体" w:hAnsi="宋体"/>
          <w:szCs w:val="21"/>
          <w:highlight w:val="none"/>
        </w:rPr>
      </w:pPr>
      <w:r>
        <w:rPr>
          <w:rFonts w:hint="eastAsia" w:ascii="宋体" w:hAnsi="宋体"/>
          <w:szCs w:val="21"/>
          <w:highlight w:val="none"/>
        </w:rPr>
        <w:t>6</w:t>
      </w:r>
      <w:r>
        <w:rPr>
          <w:rFonts w:ascii="宋体" w:hAnsi="宋体"/>
          <w:szCs w:val="21"/>
          <w:highlight w:val="none"/>
        </w:rPr>
        <w:t>.</w:t>
      </w:r>
      <w:r>
        <w:rPr>
          <w:rFonts w:hint="eastAsia" w:ascii="宋体" w:hAnsi="宋体"/>
          <w:szCs w:val="21"/>
          <w:highlight w:val="none"/>
        </w:rPr>
        <w:t>1投标人须具在中华人民共和国境内登记注册、具有独立法人资格和有能力提供本次招标产品的生产制造商，且营业执照有效；</w:t>
      </w:r>
    </w:p>
    <w:p>
      <w:pPr>
        <w:snapToGrid w:val="0"/>
        <w:spacing w:line="360" w:lineRule="auto"/>
        <w:ind w:firstLine="420" w:firstLineChars="200"/>
        <w:jc w:val="left"/>
        <w:rPr>
          <w:rFonts w:ascii="宋体" w:hAnsi="宋体"/>
          <w:szCs w:val="21"/>
          <w:highlight w:val="none"/>
        </w:rPr>
      </w:pPr>
      <w:r>
        <w:rPr>
          <w:rFonts w:hint="eastAsia" w:ascii="宋体" w:hAnsi="宋体"/>
          <w:szCs w:val="21"/>
          <w:highlight w:val="none"/>
        </w:rPr>
        <w:t>6.2投标人具有《计量器具型式批准证书》或有效期内的防爆合格证书；</w:t>
      </w:r>
    </w:p>
    <w:p>
      <w:pPr>
        <w:snapToGrid w:val="0"/>
        <w:spacing w:line="360" w:lineRule="auto"/>
        <w:ind w:firstLine="420" w:firstLineChars="200"/>
        <w:rPr>
          <w:rFonts w:hint="eastAsia" w:ascii="宋体" w:hAnsi="宋体" w:cs="宋体"/>
          <w:szCs w:val="21"/>
          <w:highlight w:val="none"/>
        </w:rPr>
      </w:pPr>
      <w:r>
        <w:rPr>
          <w:rFonts w:hint="eastAsia" w:ascii="宋体" w:hAnsi="宋体"/>
          <w:szCs w:val="21"/>
          <w:highlight w:val="none"/>
        </w:rPr>
        <w:t>6.</w:t>
      </w:r>
      <w:r>
        <w:rPr>
          <w:rFonts w:hint="eastAsia" w:ascii="宋体" w:hAnsi="宋体"/>
          <w:szCs w:val="21"/>
          <w:highlight w:val="none"/>
          <w:lang w:val="en-US" w:eastAsia="zh-CN"/>
        </w:rPr>
        <w:t>3</w:t>
      </w:r>
      <w:r>
        <w:rPr>
          <w:rFonts w:hint="eastAsia" w:ascii="宋体" w:hAnsi="宋体"/>
          <w:szCs w:val="21"/>
          <w:highlight w:val="none"/>
        </w:rPr>
        <w:t>投标人具有良好的经营状况，并确保没有处于被责令停业，财产被接管、冻结，破产状态</w:t>
      </w:r>
      <w:r>
        <w:rPr>
          <w:rFonts w:hint="eastAsia" w:ascii="宋体" w:hAnsi="宋体" w:cs="宋体"/>
          <w:szCs w:val="21"/>
          <w:highlight w:val="none"/>
        </w:rPr>
        <w:t>；</w:t>
      </w:r>
    </w:p>
    <w:p>
      <w:pPr>
        <w:snapToGrid w:val="0"/>
        <w:spacing w:line="360" w:lineRule="auto"/>
        <w:ind w:firstLine="420" w:firstLineChars="200"/>
        <w:rPr>
          <w:rFonts w:hint="eastAsia" w:ascii="宋体" w:hAnsi="宋体" w:eastAsia="宋体" w:cs="Times New Roman"/>
          <w:szCs w:val="21"/>
          <w:highlight w:val="none"/>
          <w:lang w:val="en-US" w:eastAsia="zh-CN"/>
        </w:rPr>
      </w:pPr>
      <w:r>
        <w:rPr>
          <w:rFonts w:hint="eastAsia" w:ascii="宋体" w:hAnsi="宋体" w:eastAsia="宋体" w:cs="Times New Roman"/>
          <w:szCs w:val="21"/>
          <w:highlight w:val="none"/>
          <w:lang w:val="en-US" w:eastAsia="zh-CN"/>
        </w:rPr>
        <w:t>6.4</w:t>
      </w:r>
      <w:r>
        <w:rPr>
          <w:rFonts w:hint="eastAsia" w:ascii="宋体" w:hAnsi="宋体" w:eastAsia="宋体" w:cs="Times New Roman"/>
          <w:szCs w:val="21"/>
          <w:highlight w:val="none"/>
        </w:rPr>
        <w:t>投标人近三年具有</w:t>
      </w:r>
      <w:r>
        <w:rPr>
          <w:rFonts w:hint="eastAsia" w:ascii="宋体" w:hAnsi="宋体" w:eastAsia="宋体" w:cs="Times New Roman"/>
          <w:szCs w:val="21"/>
          <w:highlight w:val="none"/>
          <w:lang w:val="en-US" w:eastAsia="zh-CN"/>
        </w:rPr>
        <w:t>超声波燃气表供货业绩；</w:t>
      </w:r>
    </w:p>
    <w:p>
      <w:pPr>
        <w:snapToGrid w:val="0"/>
        <w:spacing w:line="360" w:lineRule="auto"/>
        <w:ind w:firstLine="420" w:firstLineChars="200"/>
        <w:rPr>
          <w:rFonts w:hint="eastAsia" w:ascii="宋体" w:hAnsi="宋体"/>
          <w:szCs w:val="21"/>
          <w:highlight w:val="none"/>
        </w:rPr>
      </w:pPr>
      <w:r>
        <w:rPr>
          <w:rFonts w:hint="eastAsia" w:ascii="宋体" w:hAnsi="宋体"/>
          <w:szCs w:val="21"/>
          <w:highlight w:val="none"/>
        </w:rPr>
        <w:t>6.</w:t>
      </w:r>
      <w:r>
        <w:rPr>
          <w:rFonts w:hint="eastAsia" w:ascii="宋体" w:hAnsi="宋体"/>
          <w:szCs w:val="21"/>
          <w:highlight w:val="none"/>
          <w:lang w:val="en-US" w:eastAsia="zh-CN"/>
        </w:rPr>
        <w:t>5</w:t>
      </w:r>
      <w:r>
        <w:rPr>
          <w:rFonts w:hint="eastAsia" w:ascii="宋体" w:hAnsi="宋体"/>
          <w:szCs w:val="21"/>
          <w:highlight w:val="none"/>
        </w:rPr>
        <w:t>本项目不接受联合体投标</w:t>
      </w:r>
      <w:r>
        <w:rPr>
          <w:rFonts w:hint="eastAsia" w:ascii="宋体" w:hAnsi="宋体" w:cs="宋体"/>
          <w:szCs w:val="21"/>
          <w:highlight w:val="none"/>
        </w:rPr>
        <w:t>；</w:t>
      </w:r>
    </w:p>
    <w:p>
      <w:pPr>
        <w:tabs>
          <w:tab w:val="left" w:pos="7920"/>
        </w:tabs>
        <w:spacing w:line="360" w:lineRule="auto"/>
        <w:ind w:firstLine="420" w:firstLineChars="200"/>
        <w:jc w:val="left"/>
        <w:rPr>
          <w:rFonts w:hint="eastAsia" w:ascii="宋体" w:hAnsi="宋体"/>
          <w:szCs w:val="21"/>
          <w:highlight w:val="none"/>
        </w:rPr>
      </w:pPr>
      <w:r>
        <w:rPr>
          <w:rFonts w:hint="eastAsia" w:ascii="宋体" w:hAnsi="宋体"/>
          <w:szCs w:val="21"/>
          <w:highlight w:val="none"/>
        </w:rPr>
        <w:t>6.</w:t>
      </w:r>
      <w:r>
        <w:rPr>
          <w:rFonts w:hint="eastAsia" w:ascii="宋体" w:hAnsi="宋体"/>
          <w:szCs w:val="21"/>
          <w:highlight w:val="none"/>
          <w:lang w:val="en-US" w:eastAsia="zh-CN"/>
        </w:rPr>
        <w:t>6</w:t>
      </w:r>
      <w:r>
        <w:rPr>
          <w:rFonts w:hint="eastAsia" w:ascii="宋体" w:hAnsi="宋体"/>
          <w:szCs w:val="21"/>
          <w:highlight w:val="none"/>
        </w:rPr>
        <w:t>具有投资参股关系的关联企业，或具有直接管理和被管理关系的母子公司，或同一母公司的子公司，或法定代表人为同一人的两个及两个以上法人不得同时对同一标段投标，否则均按否决投标处理。</w:t>
      </w:r>
    </w:p>
    <w:p>
      <w:pPr>
        <w:ind w:left="420" w:leftChars="200"/>
        <w:rPr>
          <w:rFonts w:ascii="宋体" w:hAnsi="宋体"/>
          <w:b/>
          <w:color w:val="000000"/>
          <w:szCs w:val="21"/>
          <w:highlight w:val="none"/>
        </w:rPr>
      </w:pPr>
      <w:r>
        <w:rPr>
          <w:rFonts w:hint="eastAsia" w:ascii="宋体" w:hAnsi="宋体"/>
          <w:b/>
          <w:color w:val="000000"/>
          <w:szCs w:val="21"/>
          <w:highlight w:val="none"/>
        </w:rPr>
        <w:t>七、</w:t>
      </w:r>
      <w:r>
        <w:rPr>
          <w:rFonts w:ascii="宋体" w:hAnsi="宋体"/>
          <w:b/>
          <w:color w:val="000000"/>
          <w:szCs w:val="21"/>
          <w:highlight w:val="none"/>
        </w:rPr>
        <w:t>说明</w:t>
      </w:r>
    </w:p>
    <w:p>
      <w:pPr>
        <w:pStyle w:val="2"/>
        <w:spacing w:line="360" w:lineRule="auto"/>
        <w:ind w:left="-17" w:leftChars="-8" w:firstLine="436" w:firstLineChars="208"/>
        <w:rPr>
          <w:rFonts w:hint="eastAsia" w:eastAsia="宋体"/>
          <w:color w:val="000000"/>
          <w:sz w:val="21"/>
          <w:szCs w:val="21"/>
          <w:highlight w:val="none"/>
        </w:rPr>
      </w:pPr>
      <w:r>
        <w:rPr>
          <w:rFonts w:hint="eastAsia" w:eastAsia="宋体"/>
          <w:color w:val="000000"/>
          <w:sz w:val="21"/>
          <w:szCs w:val="21"/>
          <w:highlight w:val="none"/>
        </w:rPr>
        <w:t>7.1本项目选择2家供应商作为入围供应商，入围有效期为2年。</w:t>
      </w:r>
    </w:p>
    <w:p>
      <w:pPr>
        <w:pStyle w:val="2"/>
        <w:spacing w:line="360" w:lineRule="auto"/>
        <w:ind w:left="-17" w:leftChars="-8" w:firstLine="436" w:firstLineChars="208"/>
        <w:rPr>
          <w:rFonts w:hint="eastAsia" w:eastAsia="宋体"/>
          <w:color w:val="000000"/>
          <w:sz w:val="21"/>
          <w:szCs w:val="21"/>
          <w:highlight w:val="none"/>
        </w:rPr>
      </w:pPr>
      <w:r>
        <w:rPr>
          <w:rFonts w:hint="eastAsia" w:eastAsia="宋体"/>
          <w:color w:val="000000"/>
          <w:sz w:val="21"/>
          <w:szCs w:val="21"/>
          <w:highlight w:val="none"/>
        </w:rPr>
        <w:t>7.2协议有效期：自协议签订之日起2年。采购人决定缩短或延长本项目协议有效期的，可提前一个月书面通知中选人，中选人必须予以同意。</w:t>
      </w:r>
    </w:p>
    <w:p>
      <w:pPr>
        <w:pStyle w:val="2"/>
        <w:spacing w:line="360" w:lineRule="auto"/>
        <w:ind w:left="-17" w:leftChars="-8" w:firstLine="436" w:firstLineChars="208"/>
        <w:rPr>
          <w:rFonts w:hint="eastAsia" w:eastAsia="宋体"/>
          <w:color w:val="000000"/>
          <w:sz w:val="21"/>
          <w:szCs w:val="21"/>
          <w:highlight w:val="none"/>
        </w:rPr>
      </w:pPr>
      <w:r>
        <w:rPr>
          <w:rFonts w:hint="eastAsia" w:eastAsia="宋体"/>
          <w:color w:val="000000"/>
          <w:sz w:val="21"/>
          <w:szCs w:val="21"/>
          <w:highlight w:val="none"/>
        </w:rPr>
        <w:t>7.3招标人与中标供应商签订《2023-2025年度燃气表供应商入围采购合同》</w:t>
      </w:r>
    </w:p>
    <w:p>
      <w:pPr>
        <w:pStyle w:val="2"/>
        <w:spacing w:line="360" w:lineRule="auto"/>
        <w:ind w:left="-17" w:leftChars="-8" w:firstLine="436" w:firstLineChars="208"/>
        <w:rPr>
          <w:rFonts w:hint="eastAsia" w:eastAsia="宋体" w:cs="Times New Roman"/>
          <w:color w:val="000000"/>
          <w:sz w:val="21"/>
          <w:szCs w:val="21"/>
          <w:highlight w:val="none"/>
        </w:rPr>
      </w:pPr>
      <w:r>
        <w:rPr>
          <w:rFonts w:hint="eastAsia" w:eastAsia="宋体"/>
          <w:color w:val="000000"/>
          <w:sz w:val="21"/>
          <w:szCs w:val="21"/>
          <w:highlight w:val="none"/>
        </w:rPr>
        <w:t>7.4选择供应商及供货：由评标委员会按照综合得分排名由高到低向采购人推选第一中标人、第二中标人，同时对供应商进行年度考核（考核办法详见《</w:t>
      </w:r>
      <w:r>
        <w:rPr>
          <w:rFonts w:hint="eastAsia" w:eastAsia="宋体"/>
          <w:color w:val="000000"/>
          <w:sz w:val="21"/>
          <w:szCs w:val="21"/>
          <w:highlight w:val="none"/>
          <w:lang w:eastAsia="zh-CN"/>
        </w:rPr>
        <w:t>2023-2025年度超声波燃气表供应商入围项目</w:t>
      </w:r>
      <w:r>
        <w:rPr>
          <w:rFonts w:hint="eastAsia" w:eastAsia="宋体"/>
          <w:color w:val="000000"/>
          <w:sz w:val="21"/>
          <w:szCs w:val="21"/>
          <w:highlight w:val="none"/>
        </w:rPr>
        <w:t>合作协议》附件6）；</w:t>
      </w:r>
      <w:r>
        <w:rPr>
          <w:rFonts w:hint="eastAsia" w:eastAsia="宋体"/>
          <w:color w:val="000000"/>
          <w:sz w:val="21"/>
          <w:szCs w:val="21"/>
          <w:highlight w:val="none"/>
          <w:lang w:val="en-US" w:eastAsia="zh-CN"/>
        </w:rPr>
        <w:t>采购人</w:t>
      </w:r>
      <w:r>
        <w:rPr>
          <w:rFonts w:hint="eastAsia" w:eastAsia="宋体" w:cs="Times New Roman"/>
          <w:color w:val="000000"/>
          <w:sz w:val="21"/>
          <w:szCs w:val="21"/>
          <w:highlight w:val="none"/>
        </w:rPr>
        <w:t>根据一定比例分别向两家中标人进行采购，供货期间若中标人考核不合格，将暂停其供货资格，待整改到位后方可恢复供货资格。若整改不合格或拒不整改的，采购人则有权取消其供货资格；合同供货期内中标人被减少供货、暂停或取消供货资格期间，该部分供货权由另外一家中标人承担；</w:t>
      </w:r>
    </w:p>
    <w:p>
      <w:pPr>
        <w:pStyle w:val="2"/>
        <w:spacing w:line="360" w:lineRule="auto"/>
        <w:ind w:left="-17" w:leftChars="-8" w:firstLine="436" w:firstLineChars="208"/>
        <w:rPr>
          <w:rFonts w:hint="eastAsia" w:eastAsia="宋体"/>
          <w:color w:val="000000"/>
          <w:sz w:val="21"/>
          <w:szCs w:val="21"/>
          <w:highlight w:val="none"/>
        </w:rPr>
      </w:pPr>
      <w:r>
        <w:rPr>
          <w:rFonts w:hint="eastAsia" w:eastAsia="宋体"/>
          <w:color w:val="000000"/>
          <w:sz w:val="21"/>
          <w:szCs w:val="21"/>
          <w:highlight w:val="none"/>
        </w:rPr>
        <w:t>7.5投标人无条件认可、理解招标文件的要求。</w:t>
      </w:r>
    </w:p>
    <w:p>
      <w:pPr>
        <w:ind w:left="420" w:leftChars="200"/>
        <w:rPr>
          <w:rFonts w:hint="eastAsia" w:ascii="宋体" w:hAnsi="宋体"/>
          <w:b/>
          <w:color w:val="000000"/>
          <w:szCs w:val="21"/>
          <w:highlight w:val="none"/>
        </w:rPr>
      </w:pPr>
      <w:r>
        <w:rPr>
          <w:rFonts w:hint="eastAsia" w:ascii="宋体" w:hAnsi="宋体"/>
          <w:b/>
          <w:color w:val="000000"/>
          <w:szCs w:val="21"/>
          <w:highlight w:val="none"/>
        </w:rPr>
        <w:t>八、招标文件发售信息</w:t>
      </w:r>
    </w:p>
    <w:p>
      <w:pPr>
        <w:pStyle w:val="2"/>
        <w:spacing w:line="360" w:lineRule="auto"/>
        <w:ind w:left="-17" w:leftChars="-8" w:firstLine="436" w:firstLineChars="208"/>
        <w:rPr>
          <w:rFonts w:hint="eastAsia" w:eastAsia="宋体"/>
          <w:color w:val="000000"/>
          <w:sz w:val="21"/>
          <w:szCs w:val="21"/>
          <w:highlight w:val="none"/>
        </w:rPr>
      </w:pPr>
      <w:r>
        <w:rPr>
          <w:rFonts w:hint="eastAsia" w:eastAsia="宋体"/>
          <w:color w:val="000000"/>
          <w:sz w:val="21"/>
          <w:szCs w:val="21"/>
          <w:highlight w:val="none"/>
        </w:rPr>
        <w:t>出售时间：自采购文件发出之日起至</w:t>
      </w:r>
      <w:r>
        <w:rPr>
          <w:rFonts w:hint="eastAsia" w:eastAsia="宋体"/>
          <w:color w:val="FF0000"/>
          <w:sz w:val="21"/>
          <w:szCs w:val="21"/>
          <w:highlight w:val="none"/>
        </w:rPr>
        <w:t xml:space="preserve">2023年 </w:t>
      </w:r>
      <w:r>
        <w:rPr>
          <w:rFonts w:hint="eastAsia" w:eastAsia="宋体"/>
          <w:color w:val="FF0000"/>
          <w:sz w:val="21"/>
          <w:szCs w:val="21"/>
          <w:highlight w:val="none"/>
          <w:lang w:val="en-US" w:eastAsia="zh-CN"/>
        </w:rPr>
        <w:t>10</w:t>
      </w:r>
      <w:r>
        <w:rPr>
          <w:rFonts w:hint="eastAsia" w:eastAsia="宋体"/>
          <w:color w:val="FF0000"/>
          <w:sz w:val="21"/>
          <w:szCs w:val="21"/>
          <w:highlight w:val="none"/>
        </w:rPr>
        <w:t xml:space="preserve">月 </w:t>
      </w:r>
      <w:r>
        <w:rPr>
          <w:rFonts w:hint="eastAsia" w:eastAsia="宋体"/>
          <w:color w:val="FF0000"/>
          <w:sz w:val="21"/>
          <w:szCs w:val="21"/>
          <w:highlight w:val="none"/>
          <w:lang w:val="en-US" w:eastAsia="zh-CN"/>
        </w:rPr>
        <w:t>10</w:t>
      </w:r>
      <w:r>
        <w:rPr>
          <w:rFonts w:hint="eastAsia" w:eastAsia="宋体"/>
          <w:color w:val="FF0000"/>
          <w:sz w:val="21"/>
          <w:szCs w:val="21"/>
          <w:highlight w:val="none"/>
        </w:rPr>
        <w:t>日</w:t>
      </w:r>
      <w:r>
        <w:rPr>
          <w:rFonts w:hint="eastAsia" w:eastAsia="宋体"/>
          <w:color w:val="000000"/>
          <w:sz w:val="21"/>
          <w:szCs w:val="21"/>
          <w:highlight w:val="none"/>
        </w:rPr>
        <w:t>，上午9：00--11：00，下午13:30—16:00 (节假日、双休日除外)。</w:t>
      </w:r>
    </w:p>
    <w:p>
      <w:pPr>
        <w:pStyle w:val="2"/>
        <w:spacing w:line="360" w:lineRule="auto"/>
        <w:ind w:left="-17" w:leftChars="-8" w:firstLine="436" w:firstLineChars="208"/>
        <w:rPr>
          <w:rFonts w:hint="eastAsia" w:eastAsia="宋体"/>
          <w:color w:val="000000"/>
          <w:sz w:val="21"/>
          <w:szCs w:val="21"/>
          <w:highlight w:val="none"/>
        </w:rPr>
      </w:pPr>
      <w:r>
        <w:rPr>
          <w:rFonts w:hint="eastAsia" w:eastAsia="宋体"/>
          <w:color w:val="000000"/>
          <w:sz w:val="21"/>
          <w:szCs w:val="21"/>
          <w:highlight w:val="none"/>
        </w:rPr>
        <w:t>出售地点：苏州高新区马运路248-3号三楼会议室</w:t>
      </w:r>
    </w:p>
    <w:p>
      <w:pPr>
        <w:pStyle w:val="2"/>
        <w:spacing w:line="360" w:lineRule="auto"/>
        <w:ind w:left="-17" w:leftChars="-8" w:firstLine="436" w:firstLineChars="208"/>
        <w:rPr>
          <w:rFonts w:eastAsia="宋体"/>
          <w:color w:val="000000"/>
          <w:sz w:val="21"/>
          <w:szCs w:val="21"/>
          <w:highlight w:val="none"/>
        </w:rPr>
      </w:pPr>
      <w:r>
        <w:rPr>
          <w:rFonts w:hint="eastAsia" w:eastAsia="宋体"/>
          <w:color w:val="000000"/>
          <w:sz w:val="21"/>
          <w:szCs w:val="21"/>
          <w:highlight w:val="none"/>
        </w:rPr>
        <w:t>出售方式：现场出售</w:t>
      </w:r>
    </w:p>
    <w:p>
      <w:pPr>
        <w:pStyle w:val="2"/>
        <w:spacing w:line="360" w:lineRule="auto"/>
        <w:ind w:left="-17" w:leftChars="-8" w:firstLine="436" w:firstLineChars="208"/>
        <w:rPr>
          <w:rFonts w:hint="eastAsia" w:eastAsia="宋体"/>
          <w:color w:val="000000"/>
          <w:sz w:val="21"/>
          <w:szCs w:val="21"/>
          <w:highlight w:val="none"/>
        </w:rPr>
      </w:pPr>
      <w:r>
        <w:rPr>
          <w:rFonts w:hint="eastAsia" w:eastAsia="宋体"/>
          <w:color w:val="000000"/>
          <w:sz w:val="21"/>
          <w:szCs w:val="21"/>
          <w:highlight w:val="none"/>
        </w:rPr>
        <w:t>售  价：每套  500元（现金缴纳）</w:t>
      </w:r>
    </w:p>
    <w:p>
      <w:pPr>
        <w:pStyle w:val="2"/>
        <w:spacing w:line="360" w:lineRule="auto"/>
        <w:ind w:left="-17" w:leftChars="-8" w:firstLine="439" w:firstLineChars="208"/>
        <w:rPr>
          <w:rFonts w:hint="eastAsia" w:eastAsia="宋体"/>
          <w:color w:val="000000"/>
          <w:sz w:val="21"/>
          <w:szCs w:val="21"/>
          <w:highlight w:val="none"/>
        </w:rPr>
      </w:pPr>
      <w:r>
        <w:rPr>
          <w:rFonts w:hint="eastAsia" w:eastAsia="宋体"/>
          <w:b/>
          <w:color w:val="000000"/>
          <w:sz w:val="21"/>
          <w:szCs w:val="21"/>
          <w:highlight w:val="none"/>
        </w:rPr>
        <w:t>九、购买标书时须向采购代理机构提供如下资料的加盖投标人公司公章（红章）的复印件：</w:t>
      </w:r>
    </w:p>
    <w:p>
      <w:pPr>
        <w:pStyle w:val="2"/>
        <w:spacing w:line="360" w:lineRule="auto"/>
        <w:ind w:left="-17" w:leftChars="-8" w:firstLine="436" w:firstLineChars="208"/>
        <w:rPr>
          <w:rFonts w:hint="eastAsia" w:eastAsia="宋体"/>
          <w:color w:val="000000"/>
          <w:sz w:val="21"/>
          <w:szCs w:val="21"/>
          <w:highlight w:val="none"/>
        </w:rPr>
      </w:pPr>
      <w:r>
        <w:rPr>
          <w:rFonts w:hint="eastAsia" w:eastAsia="宋体"/>
          <w:color w:val="000000"/>
          <w:sz w:val="21"/>
          <w:szCs w:val="21"/>
          <w:highlight w:val="none"/>
        </w:rPr>
        <w:t>9.1投标申请人法定代表人授权委托书原件（如有授权）、法定代表人身份证复印件，被授权人须为报名单位的正式员工，提供身份证、劳动合同和近三个月的社保证明复印件；</w:t>
      </w:r>
    </w:p>
    <w:p>
      <w:pPr>
        <w:pStyle w:val="2"/>
        <w:spacing w:line="360" w:lineRule="auto"/>
        <w:ind w:left="-17" w:leftChars="-8" w:firstLine="436" w:firstLineChars="208"/>
        <w:rPr>
          <w:rFonts w:hint="eastAsia" w:eastAsia="宋体"/>
          <w:color w:val="000000"/>
          <w:sz w:val="21"/>
          <w:szCs w:val="21"/>
          <w:highlight w:val="none"/>
        </w:rPr>
      </w:pPr>
      <w:r>
        <w:rPr>
          <w:rFonts w:hint="eastAsia" w:eastAsia="宋体"/>
          <w:color w:val="000000"/>
          <w:sz w:val="21"/>
          <w:szCs w:val="21"/>
          <w:highlight w:val="none"/>
        </w:rPr>
        <w:t>9.2投标人须具在中华人民共和国境内登记注册、具有独立法人资格和有能力提供本次招标产品的生产制造商，且营业执照有效；</w:t>
      </w:r>
    </w:p>
    <w:p>
      <w:pPr>
        <w:pStyle w:val="2"/>
        <w:spacing w:line="360" w:lineRule="auto"/>
        <w:ind w:left="-17" w:leftChars="-8" w:firstLine="436" w:firstLineChars="208"/>
        <w:rPr>
          <w:rFonts w:hint="eastAsia" w:eastAsia="宋体" w:cs="Times New Roman"/>
          <w:color w:val="000000"/>
          <w:sz w:val="21"/>
          <w:szCs w:val="21"/>
          <w:highlight w:val="none"/>
        </w:rPr>
      </w:pPr>
      <w:r>
        <w:rPr>
          <w:rFonts w:hint="eastAsia" w:eastAsia="宋体" w:cs="Times New Roman"/>
          <w:color w:val="000000"/>
          <w:sz w:val="21"/>
          <w:szCs w:val="21"/>
          <w:highlight w:val="none"/>
          <w:lang w:val="en-US" w:eastAsia="zh-CN"/>
        </w:rPr>
        <w:t>9.3</w:t>
      </w:r>
      <w:r>
        <w:rPr>
          <w:rFonts w:hint="eastAsia" w:eastAsia="宋体" w:cs="Times New Roman"/>
          <w:color w:val="000000"/>
          <w:sz w:val="21"/>
          <w:szCs w:val="21"/>
          <w:highlight w:val="none"/>
        </w:rPr>
        <w:t>投标人近三年具有</w:t>
      </w:r>
      <w:r>
        <w:rPr>
          <w:rFonts w:hint="eastAsia" w:eastAsia="宋体" w:cs="Times New Roman"/>
          <w:color w:val="000000"/>
          <w:sz w:val="21"/>
          <w:szCs w:val="21"/>
          <w:highlight w:val="none"/>
          <w:lang w:val="en-US" w:eastAsia="zh-CN"/>
        </w:rPr>
        <w:t>超声波燃气表供货业绩</w:t>
      </w:r>
      <w:r>
        <w:rPr>
          <w:rFonts w:hint="eastAsia" w:eastAsia="宋体" w:cs="Times New Roman"/>
          <w:color w:val="000000"/>
          <w:sz w:val="21"/>
          <w:szCs w:val="21"/>
          <w:highlight w:val="none"/>
        </w:rPr>
        <w:t xml:space="preserve">（需提供业绩证明材料：供货合同或发票等复印件加盖公章）； </w:t>
      </w:r>
    </w:p>
    <w:p>
      <w:pPr>
        <w:pStyle w:val="2"/>
        <w:spacing w:line="360" w:lineRule="auto"/>
        <w:ind w:left="-17" w:leftChars="-8" w:firstLine="436" w:firstLineChars="208"/>
        <w:rPr>
          <w:rFonts w:hint="eastAsia" w:eastAsia="宋体"/>
          <w:color w:val="000000"/>
          <w:sz w:val="21"/>
          <w:szCs w:val="21"/>
          <w:highlight w:val="none"/>
        </w:rPr>
      </w:pPr>
      <w:r>
        <w:rPr>
          <w:rFonts w:hint="eastAsia" w:eastAsia="宋体"/>
          <w:color w:val="000000"/>
          <w:sz w:val="21"/>
          <w:szCs w:val="21"/>
          <w:highlight w:val="none"/>
        </w:rPr>
        <w:t>9.</w:t>
      </w:r>
      <w:r>
        <w:rPr>
          <w:rFonts w:hint="eastAsia" w:eastAsia="宋体"/>
          <w:color w:val="000000"/>
          <w:sz w:val="21"/>
          <w:szCs w:val="21"/>
          <w:highlight w:val="none"/>
          <w:lang w:val="en-US" w:eastAsia="zh-CN"/>
        </w:rPr>
        <w:t>4</w:t>
      </w:r>
      <w:r>
        <w:rPr>
          <w:rFonts w:hint="eastAsia" w:eastAsia="宋体"/>
          <w:color w:val="000000"/>
          <w:sz w:val="21"/>
          <w:szCs w:val="21"/>
          <w:highlight w:val="none"/>
        </w:rPr>
        <w:t>投标人具有《计量器具型式批准证书》或有效期内的防爆合格证书；</w:t>
      </w:r>
    </w:p>
    <w:p>
      <w:pPr>
        <w:pStyle w:val="2"/>
        <w:spacing w:line="360" w:lineRule="auto"/>
        <w:ind w:left="-17" w:leftChars="-8" w:firstLine="436" w:firstLineChars="208"/>
        <w:rPr>
          <w:rFonts w:hint="eastAsia" w:eastAsia="宋体"/>
          <w:color w:val="000000"/>
          <w:sz w:val="21"/>
          <w:szCs w:val="21"/>
          <w:highlight w:val="none"/>
        </w:rPr>
      </w:pPr>
      <w:r>
        <w:rPr>
          <w:rFonts w:hint="eastAsia" w:eastAsia="宋体"/>
          <w:color w:val="000000"/>
          <w:sz w:val="21"/>
          <w:szCs w:val="21"/>
          <w:highlight w:val="none"/>
        </w:rPr>
        <w:t>9.</w:t>
      </w:r>
      <w:r>
        <w:rPr>
          <w:rFonts w:hint="eastAsia" w:eastAsia="宋体"/>
          <w:color w:val="000000"/>
          <w:sz w:val="21"/>
          <w:szCs w:val="21"/>
          <w:highlight w:val="none"/>
          <w:lang w:val="en-US" w:eastAsia="zh-CN"/>
        </w:rPr>
        <w:t>5</w:t>
      </w:r>
      <w:r>
        <w:rPr>
          <w:rFonts w:hint="eastAsia" w:eastAsia="宋体"/>
          <w:color w:val="000000"/>
          <w:sz w:val="21"/>
          <w:szCs w:val="21"/>
          <w:highlight w:val="none"/>
        </w:rPr>
        <w:t>投标申请人“国家企业信用信息公示系统”等相关信用系统查询结果（查询日期不得早于招标文件起售日）。</w:t>
      </w:r>
    </w:p>
    <w:p>
      <w:pPr>
        <w:ind w:left="420" w:leftChars="200"/>
        <w:rPr>
          <w:rFonts w:hint="eastAsia" w:ascii="宋体" w:hAnsi="宋体"/>
          <w:b/>
          <w:color w:val="000000"/>
          <w:szCs w:val="21"/>
          <w:highlight w:val="none"/>
        </w:rPr>
      </w:pPr>
      <w:r>
        <w:rPr>
          <w:rFonts w:hint="eastAsia" w:ascii="宋体" w:hAnsi="宋体"/>
          <w:b/>
          <w:color w:val="000000"/>
          <w:szCs w:val="21"/>
          <w:highlight w:val="none"/>
        </w:rPr>
        <w:t>十、开标信息：</w:t>
      </w:r>
    </w:p>
    <w:p>
      <w:pPr>
        <w:pStyle w:val="2"/>
        <w:spacing w:line="360" w:lineRule="auto"/>
        <w:ind w:left="-17" w:leftChars="-8" w:firstLine="439" w:firstLineChars="208"/>
        <w:rPr>
          <w:rFonts w:eastAsia="宋体"/>
          <w:b/>
          <w:bCs/>
          <w:color w:val="000000"/>
          <w:sz w:val="21"/>
          <w:szCs w:val="21"/>
          <w:highlight w:val="none"/>
        </w:rPr>
      </w:pPr>
      <w:r>
        <w:rPr>
          <w:rFonts w:hint="eastAsia" w:eastAsia="宋体"/>
          <w:b/>
          <w:bCs/>
          <w:color w:val="000000"/>
          <w:sz w:val="21"/>
          <w:szCs w:val="21"/>
          <w:highlight w:val="none"/>
        </w:rPr>
        <w:t xml:space="preserve">投标文件递交时间：2023年 </w:t>
      </w:r>
      <w:r>
        <w:rPr>
          <w:rFonts w:hint="eastAsia" w:eastAsia="宋体"/>
          <w:b/>
          <w:bCs/>
          <w:color w:val="000000"/>
          <w:sz w:val="21"/>
          <w:szCs w:val="21"/>
          <w:highlight w:val="none"/>
          <w:lang w:val="en-US" w:eastAsia="zh-CN"/>
        </w:rPr>
        <w:t>10</w:t>
      </w:r>
      <w:r>
        <w:rPr>
          <w:rFonts w:hint="eastAsia" w:eastAsia="宋体"/>
          <w:b/>
          <w:bCs/>
          <w:color w:val="000000"/>
          <w:sz w:val="21"/>
          <w:szCs w:val="21"/>
          <w:highlight w:val="none"/>
        </w:rPr>
        <w:t xml:space="preserve"> 月 </w:t>
      </w:r>
      <w:r>
        <w:rPr>
          <w:rFonts w:hint="eastAsia" w:eastAsia="宋体"/>
          <w:b/>
          <w:bCs/>
          <w:color w:val="000000"/>
          <w:sz w:val="21"/>
          <w:szCs w:val="21"/>
          <w:highlight w:val="none"/>
          <w:lang w:val="en-US" w:eastAsia="zh-CN"/>
        </w:rPr>
        <w:t>23</w:t>
      </w:r>
      <w:r>
        <w:rPr>
          <w:rFonts w:hint="eastAsia" w:eastAsia="宋体"/>
          <w:b/>
          <w:bCs/>
          <w:color w:val="000000"/>
          <w:sz w:val="21"/>
          <w:szCs w:val="21"/>
          <w:highlight w:val="none"/>
        </w:rPr>
        <w:t>日下午</w:t>
      </w:r>
      <w:r>
        <w:rPr>
          <w:rFonts w:eastAsia="宋体"/>
          <w:b/>
          <w:bCs/>
          <w:color w:val="000000"/>
          <w:sz w:val="21"/>
          <w:szCs w:val="21"/>
          <w:highlight w:val="none"/>
        </w:rPr>
        <w:t>1</w:t>
      </w:r>
      <w:r>
        <w:rPr>
          <w:rFonts w:hint="eastAsia" w:eastAsia="宋体"/>
          <w:b/>
          <w:bCs/>
          <w:color w:val="000000"/>
          <w:sz w:val="21"/>
          <w:szCs w:val="21"/>
          <w:highlight w:val="none"/>
          <w:lang w:val="en-US" w:eastAsia="zh-CN"/>
        </w:rPr>
        <w:t>0</w:t>
      </w:r>
      <w:r>
        <w:rPr>
          <w:rFonts w:hint="eastAsia" w:eastAsia="宋体"/>
          <w:b/>
          <w:bCs/>
          <w:color w:val="000000"/>
          <w:sz w:val="21"/>
          <w:szCs w:val="21"/>
          <w:highlight w:val="none"/>
        </w:rPr>
        <w:t>:</w:t>
      </w:r>
      <w:r>
        <w:rPr>
          <w:rFonts w:hint="eastAsia" w:eastAsia="宋体"/>
          <w:b/>
          <w:bCs/>
          <w:color w:val="000000"/>
          <w:sz w:val="21"/>
          <w:szCs w:val="21"/>
          <w:highlight w:val="none"/>
          <w:lang w:val="en-US" w:eastAsia="zh-CN"/>
        </w:rPr>
        <w:t>0</w:t>
      </w:r>
      <w:r>
        <w:rPr>
          <w:rFonts w:hint="eastAsia" w:eastAsia="宋体"/>
          <w:b/>
          <w:bCs/>
          <w:color w:val="000000"/>
          <w:sz w:val="21"/>
          <w:szCs w:val="21"/>
          <w:highlight w:val="none"/>
        </w:rPr>
        <w:t>0－</w:t>
      </w:r>
      <w:r>
        <w:rPr>
          <w:rFonts w:eastAsia="宋体"/>
          <w:b/>
          <w:bCs/>
          <w:color w:val="000000"/>
          <w:sz w:val="21"/>
          <w:szCs w:val="21"/>
          <w:highlight w:val="none"/>
        </w:rPr>
        <w:t>1</w:t>
      </w:r>
      <w:r>
        <w:rPr>
          <w:rFonts w:hint="eastAsia" w:eastAsia="宋体"/>
          <w:b/>
          <w:bCs/>
          <w:color w:val="000000"/>
          <w:sz w:val="21"/>
          <w:szCs w:val="21"/>
          <w:highlight w:val="none"/>
          <w:lang w:val="en-US" w:eastAsia="zh-CN"/>
        </w:rPr>
        <w:t>3</w:t>
      </w:r>
      <w:r>
        <w:rPr>
          <w:rFonts w:hint="eastAsia" w:eastAsia="宋体"/>
          <w:b/>
          <w:bCs/>
          <w:color w:val="000000"/>
          <w:sz w:val="21"/>
          <w:szCs w:val="21"/>
          <w:highlight w:val="none"/>
        </w:rPr>
        <w:t>：</w:t>
      </w:r>
      <w:r>
        <w:rPr>
          <w:rFonts w:hint="eastAsia" w:eastAsia="宋体"/>
          <w:b/>
          <w:bCs/>
          <w:color w:val="000000"/>
          <w:sz w:val="21"/>
          <w:szCs w:val="21"/>
          <w:highlight w:val="none"/>
          <w:lang w:val="en-US" w:eastAsia="zh-CN"/>
        </w:rPr>
        <w:t>3</w:t>
      </w:r>
      <w:r>
        <w:rPr>
          <w:rFonts w:hint="eastAsia" w:eastAsia="宋体"/>
          <w:b/>
          <w:bCs/>
          <w:color w:val="000000"/>
          <w:sz w:val="21"/>
          <w:szCs w:val="21"/>
          <w:highlight w:val="none"/>
        </w:rPr>
        <w:t>0</w:t>
      </w:r>
    </w:p>
    <w:p>
      <w:pPr>
        <w:pStyle w:val="2"/>
        <w:spacing w:line="360" w:lineRule="auto"/>
        <w:ind w:left="-17" w:leftChars="-8" w:firstLine="439" w:firstLineChars="208"/>
        <w:rPr>
          <w:rFonts w:hint="eastAsia" w:eastAsia="宋体"/>
          <w:b/>
          <w:bCs/>
          <w:color w:val="000000"/>
          <w:sz w:val="21"/>
          <w:szCs w:val="21"/>
          <w:highlight w:val="none"/>
        </w:rPr>
      </w:pPr>
      <w:r>
        <w:rPr>
          <w:rFonts w:hint="eastAsia" w:eastAsia="宋体"/>
          <w:b/>
          <w:bCs/>
          <w:color w:val="000000"/>
          <w:sz w:val="21"/>
          <w:szCs w:val="21"/>
          <w:highlight w:val="none"/>
        </w:rPr>
        <w:t xml:space="preserve">投标文件递交截止时间：2023年 </w:t>
      </w:r>
      <w:r>
        <w:rPr>
          <w:rFonts w:hint="eastAsia" w:eastAsia="宋体"/>
          <w:b/>
          <w:bCs/>
          <w:color w:val="000000"/>
          <w:sz w:val="21"/>
          <w:szCs w:val="21"/>
          <w:highlight w:val="none"/>
          <w:lang w:val="en-US" w:eastAsia="zh-CN"/>
        </w:rPr>
        <w:t>10</w:t>
      </w:r>
      <w:r>
        <w:rPr>
          <w:rFonts w:hint="eastAsia" w:eastAsia="宋体"/>
          <w:b/>
          <w:bCs/>
          <w:color w:val="000000"/>
          <w:sz w:val="21"/>
          <w:szCs w:val="21"/>
          <w:highlight w:val="none"/>
        </w:rPr>
        <w:t xml:space="preserve"> 月 </w:t>
      </w:r>
      <w:r>
        <w:rPr>
          <w:rFonts w:hint="eastAsia" w:eastAsia="宋体"/>
          <w:b/>
          <w:bCs/>
          <w:color w:val="000000"/>
          <w:sz w:val="21"/>
          <w:szCs w:val="21"/>
          <w:highlight w:val="none"/>
          <w:lang w:val="en-US" w:eastAsia="zh-CN"/>
        </w:rPr>
        <w:t>23</w:t>
      </w:r>
      <w:r>
        <w:rPr>
          <w:rFonts w:hint="eastAsia" w:eastAsia="宋体"/>
          <w:b/>
          <w:bCs/>
          <w:color w:val="000000"/>
          <w:sz w:val="21"/>
          <w:szCs w:val="21"/>
          <w:highlight w:val="none"/>
        </w:rPr>
        <w:t>日下午</w:t>
      </w:r>
      <w:r>
        <w:rPr>
          <w:rFonts w:eastAsia="宋体"/>
          <w:b/>
          <w:bCs/>
          <w:color w:val="000000"/>
          <w:sz w:val="21"/>
          <w:szCs w:val="21"/>
          <w:highlight w:val="none"/>
        </w:rPr>
        <w:t>1</w:t>
      </w:r>
      <w:r>
        <w:rPr>
          <w:rFonts w:hint="eastAsia" w:eastAsia="宋体"/>
          <w:b/>
          <w:bCs/>
          <w:color w:val="000000"/>
          <w:sz w:val="21"/>
          <w:szCs w:val="21"/>
          <w:highlight w:val="none"/>
          <w:lang w:val="en-US" w:eastAsia="zh-CN"/>
        </w:rPr>
        <w:t>3</w:t>
      </w:r>
      <w:r>
        <w:rPr>
          <w:rFonts w:hint="eastAsia" w:eastAsia="宋体"/>
          <w:b/>
          <w:bCs/>
          <w:color w:val="000000"/>
          <w:sz w:val="21"/>
          <w:szCs w:val="21"/>
          <w:highlight w:val="none"/>
        </w:rPr>
        <w:t>：</w:t>
      </w:r>
      <w:r>
        <w:rPr>
          <w:rFonts w:hint="eastAsia" w:eastAsia="宋体"/>
          <w:b/>
          <w:bCs/>
          <w:color w:val="000000"/>
          <w:sz w:val="21"/>
          <w:szCs w:val="21"/>
          <w:highlight w:val="none"/>
          <w:lang w:val="en-US" w:eastAsia="zh-CN"/>
        </w:rPr>
        <w:t>3</w:t>
      </w:r>
      <w:r>
        <w:rPr>
          <w:rFonts w:hint="eastAsia" w:eastAsia="宋体"/>
          <w:b/>
          <w:bCs/>
          <w:color w:val="000000"/>
          <w:sz w:val="21"/>
          <w:szCs w:val="21"/>
          <w:highlight w:val="none"/>
        </w:rPr>
        <w:t>0</w:t>
      </w:r>
    </w:p>
    <w:p>
      <w:pPr>
        <w:pStyle w:val="2"/>
        <w:spacing w:line="360" w:lineRule="auto"/>
        <w:ind w:left="-17" w:leftChars="-8" w:firstLine="439" w:firstLineChars="208"/>
        <w:rPr>
          <w:rFonts w:hint="eastAsia" w:eastAsia="宋体"/>
          <w:b/>
          <w:bCs/>
          <w:color w:val="000000"/>
          <w:sz w:val="21"/>
          <w:szCs w:val="21"/>
          <w:highlight w:val="none"/>
        </w:rPr>
      </w:pPr>
      <w:r>
        <w:rPr>
          <w:rFonts w:hint="eastAsia" w:eastAsia="宋体"/>
          <w:b/>
          <w:bCs/>
          <w:color w:val="000000"/>
          <w:sz w:val="21"/>
          <w:szCs w:val="21"/>
          <w:highlight w:val="none"/>
        </w:rPr>
        <w:t xml:space="preserve">开标时间：2023年 </w:t>
      </w:r>
      <w:r>
        <w:rPr>
          <w:rFonts w:hint="eastAsia" w:eastAsia="宋体"/>
          <w:b/>
          <w:bCs/>
          <w:color w:val="000000"/>
          <w:sz w:val="21"/>
          <w:szCs w:val="21"/>
          <w:highlight w:val="none"/>
          <w:lang w:val="en-US" w:eastAsia="zh-CN"/>
        </w:rPr>
        <w:t>10</w:t>
      </w:r>
      <w:r>
        <w:rPr>
          <w:rFonts w:hint="eastAsia" w:eastAsia="宋体"/>
          <w:b/>
          <w:bCs/>
          <w:color w:val="000000"/>
          <w:sz w:val="21"/>
          <w:szCs w:val="21"/>
          <w:highlight w:val="none"/>
        </w:rPr>
        <w:t xml:space="preserve">月 </w:t>
      </w:r>
      <w:r>
        <w:rPr>
          <w:rFonts w:hint="eastAsia" w:eastAsia="宋体"/>
          <w:b/>
          <w:bCs/>
          <w:color w:val="000000"/>
          <w:sz w:val="21"/>
          <w:szCs w:val="21"/>
          <w:highlight w:val="none"/>
          <w:lang w:val="en-US" w:eastAsia="zh-CN"/>
        </w:rPr>
        <w:t>23</w:t>
      </w:r>
      <w:r>
        <w:rPr>
          <w:rFonts w:hint="eastAsia" w:eastAsia="宋体"/>
          <w:b/>
          <w:bCs/>
          <w:color w:val="000000"/>
          <w:sz w:val="21"/>
          <w:szCs w:val="21"/>
          <w:highlight w:val="none"/>
        </w:rPr>
        <w:t xml:space="preserve"> 日下午</w:t>
      </w:r>
      <w:r>
        <w:rPr>
          <w:rFonts w:eastAsia="宋体"/>
          <w:b/>
          <w:bCs/>
          <w:color w:val="000000"/>
          <w:sz w:val="21"/>
          <w:szCs w:val="21"/>
          <w:highlight w:val="none"/>
        </w:rPr>
        <w:t>1</w:t>
      </w:r>
      <w:r>
        <w:rPr>
          <w:rFonts w:hint="eastAsia" w:eastAsia="宋体"/>
          <w:b/>
          <w:bCs/>
          <w:color w:val="000000"/>
          <w:sz w:val="21"/>
          <w:szCs w:val="21"/>
          <w:highlight w:val="none"/>
          <w:lang w:val="en-US" w:eastAsia="zh-CN"/>
        </w:rPr>
        <w:t>3</w:t>
      </w:r>
      <w:r>
        <w:rPr>
          <w:rFonts w:hint="eastAsia" w:eastAsia="宋体"/>
          <w:b/>
          <w:bCs/>
          <w:color w:val="000000"/>
          <w:sz w:val="21"/>
          <w:szCs w:val="21"/>
          <w:highlight w:val="none"/>
        </w:rPr>
        <w:t>：</w:t>
      </w:r>
      <w:r>
        <w:rPr>
          <w:rFonts w:hint="eastAsia" w:eastAsia="宋体"/>
          <w:b/>
          <w:bCs/>
          <w:color w:val="000000"/>
          <w:sz w:val="21"/>
          <w:szCs w:val="21"/>
          <w:highlight w:val="none"/>
          <w:lang w:val="en-US" w:eastAsia="zh-CN"/>
        </w:rPr>
        <w:t>3</w:t>
      </w:r>
      <w:r>
        <w:rPr>
          <w:rFonts w:hint="eastAsia" w:eastAsia="宋体"/>
          <w:b/>
          <w:bCs/>
          <w:color w:val="000000"/>
          <w:sz w:val="21"/>
          <w:szCs w:val="21"/>
          <w:highlight w:val="none"/>
        </w:rPr>
        <w:t>0</w:t>
      </w:r>
    </w:p>
    <w:p>
      <w:pPr>
        <w:pStyle w:val="2"/>
        <w:spacing w:line="360" w:lineRule="auto"/>
        <w:ind w:left="-17" w:leftChars="-8" w:firstLine="439" w:firstLineChars="208"/>
        <w:rPr>
          <w:rFonts w:hint="eastAsia" w:eastAsia="宋体"/>
          <w:b/>
          <w:bCs/>
          <w:color w:val="000000"/>
          <w:sz w:val="21"/>
          <w:szCs w:val="21"/>
          <w:highlight w:val="none"/>
        </w:rPr>
      </w:pPr>
      <w:r>
        <w:rPr>
          <w:rFonts w:hint="eastAsia" w:eastAsia="宋体"/>
          <w:b/>
          <w:bCs/>
          <w:color w:val="000000"/>
          <w:sz w:val="21"/>
          <w:szCs w:val="21"/>
          <w:highlight w:val="none"/>
        </w:rPr>
        <w:t>投标及开标地址：苏州高新区马运路248-3号三楼会议室</w:t>
      </w:r>
    </w:p>
    <w:p>
      <w:pPr>
        <w:ind w:left="420" w:leftChars="200"/>
        <w:rPr>
          <w:rFonts w:hint="eastAsia" w:ascii="宋体" w:hAnsi="宋体"/>
          <w:b/>
          <w:color w:val="000000"/>
          <w:szCs w:val="21"/>
          <w:highlight w:val="none"/>
        </w:rPr>
      </w:pPr>
      <w:r>
        <w:rPr>
          <w:rFonts w:hint="eastAsia" w:ascii="宋体" w:hAnsi="宋体"/>
          <w:b/>
          <w:color w:val="000000"/>
          <w:szCs w:val="21"/>
          <w:highlight w:val="none"/>
        </w:rPr>
        <w:t>十一、本次招标联系事项：</w:t>
      </w:r>
    </w:p>
    <w:p>
      <w:pPr>
        <w:pStyle w:val="2"/>
        <w:spacing w:line="360" w:lineRule="auto"/>
        <w:ind w:left="-17" w:leftChars="-8" w:firstLine="439" w:firstLineChars="208"/>
        <w:rPr>
          <w:rFonts w:hint="eastAsia" w:eastAsia="宋体"/>
          <w:color w:val="000000"/>
          <w:sz w:val="21"/>
          <w:szCs w:val="21"/>
          <w:highlight w:val="none"/>
        </w:rPr>
      </w:pPr>
      <w:r>
        <w:rPr>
          <w:rFonts w:hint="eastAsia" w:eastAsia="宋体"/>
          <w:b/>
          <w:bCs/>
          <w:color w:val="000000"/>
          <w:sz w:val="21"/>
          <w:szCs w:val="21"/>
          <w:highlight w:val="none"/>
        </w:rPr>
        <w:t>采购单位：</w:t>
      </w:r>
    </w:p>
    <w:p>
      <w:pPr>
        <w:pStyle w:val="2"/>
        <w:spacing w:line="360" w:lineRule="auto"/>
        <w:ind w:left="-17" w:leftChars="-8" w:firstLine="436" w:firstLineChars="208"/>
        <w:rPr>
          <w:rFonts w:hint="eastAsia" w:eastAsia="宋体"/>
          <w:color w:val="000000"/>
          <w:sz w:val="21"/>
          <w:szCs w:val="21"/>
          <w:highlight w:val="none"/>
        </w:rPr>
      </w:pPr>
      <w:r>
        <w:rPr>
          <w:rFonts w:hint="eastAsia" w:eastAsia="宋体"/>
          <w:color w:val="000000"/>
          <w:sz w:val="21"/>
          <w:szCs w:val="21"/>
          <w:highlight w:val="none"/>
        </w:rPr>
        <w:t>单位</w:t>
      </w:r>
      <w:r>
        <w:rPr>
          <w:rFonts w:eastAsia="宋体"/>
          <w:color w:val="000000"/>
          <w:sz w:val="21"/>
          <w:szCs w:val="21"/>
          <w:highlight w:val="none"/>
        </w:rPr>
        <w:t>名称：</w:t>
      </w:r>
      <w:r>
        <w:rPr>
          <w:rFonts w:hint="eastAsia" w:eastAsia="宋体"/>
          <w:color w:val="000000"/>
          <w:sz w:val="21"/>
          <w:szCs w:val="21"/>
          <w:highlight w:val="none"/>
        </w:rPr>
        <w:t>苏州燃气集团有限责任公司</w:t>
      </w:r>
    </w:p>
    <w:p>
      <w:pPr>
        <w:pStyle w:val="2"/>
        <w:spacing w:line="360" w:lineRule="auto"/>
        <w:ind w:left="-17" w:leftChars="-8" w:firstLine="436" w:firstLineChars="208"/>
        <w:rPr>
          <w:rFonts w:hint="eastAsia" w:eastAsia="宋体"/>
          <w:color w:val="000000"/>
          <w:sz w:val="21"/>
          <w:szCs w:val="21"/>
          <w:highlight w:val="none"/>
        </w:rPr>
      </w:pPr>
      <w:r>
        <w:rPr>
          <w:rFonts w:hint="eastAsia" w:eastAsia="宋体"/>
          <w:color w:val="000000"/>
          <w:sz w:val="21"/>
          <w:szCs w:val="21"/>
          <w:highlight w:val="none"/>
        </w:rPr>
        <w:t>联系</w:t>
      </w:r>
      <w:r>
        <w:rPr>
          <w:rFonts w:eastAsia="宋体"/>
          <w:color w:val="000000"/>
          <w:sz w:val="21"/>
          <w:szCs w:val="21"/>
          <w:highlight w:val="none"/>
        </w:rPr>
        <w:t>电话：</w:t>
      </w:r>
      <w:r>
        <w:rPr>
          <w:rFonts w:hint="eastAsia" w:eastAsia="宋体"/>
          <w:color w:val="000000"/>
          <w:sz w:val="21"/>
          <w:szCs w:val="21"/>
          <w:highlight w:val="none"/>
        </w:rPr>
        <w:t>0512-65115235</w:t>
      </w:r>
    </w:p>
    <w:p>
      <w:pPr>
        <w:pStyle w:val="2"/>
        <w:spacing w:line="360" w:lineRule="auto"/>
        <w:ind w:left="-17" w:leftChars="-8" w:firstLine="436" w:firstLineChars="208"/>
        <w:rPr>
          <w:rFonts w:hint="eastAsia" w:eastAsia="宋体"/>
          <w:b/>
          <w:bCs/>
          <w:color w:val="000000"/>
          <w:sz w:val="21"/>
          <w:szCs w:val="21"/>
          <w:highlight w:val="none"/>
        </w:rPr>
      </w:pPr>
      <w:r>
        <w:rPr>
          <w:rFonts w:eastAsia="宋体"/>
          <w:color w:val="000000"/>
          <w:sz w:val="21"/>
          <w:szCs w:val="21"/>
          <w:highlight w:val="none"/>
        </w:rPr>
        <w:t>联 系 人：</w:t>
      </w:r>
      <w:r>
        <w:rPr>
          <w:rFonts w:hint="eastAsia" w:eastAsia="宋体"/>
          <w:color w:val="000000"/>
          <w:sz w:val="21"/>
          <w:szCs w:val="21"/>
          <w:highlight w:val="none"/>
        </w:rPr>
        <w:t>蒋倩</w:t>
      </w:r>
    </w:p>
    <w:p>
      <w:pPr>
        <w:pStyle w:val="2"/>
        <w:spacing w:line="360" w:lineRule="auto"/>
        <w:ind w:left="-17" w:leftChars="-8" w:firstLine="439" w:firstLineChars="208"/>
        <w:rPr>
          <w:rFonts w:hint="eastAsia" w:eastAsia="宋体"/>
          <w:color w:val="000000"/>
          <w:sz w:val="21"/>
          <w:szCs w:val="21"/>
          <w:highlight w:val="none"/>
        </w:rPr>
      </w:pPr>
      <w:r>
        <w:rPr>
          <w:rFonts w:hint="eastAsia" w:eastAsia="宋体"/>
          <w:b/>
          <w:bCs/>
          <w:color w:val="000000"/>
          <w:sz w:val="21"/>
          <w:szCs w:val="21"/>
          <w:highlight w:val="none"/>
        </w:rPr>
        <w:t>代理机构：</w:t>
      </w:r>
    </w:p>
    <w:p>
      <w:pPr>
        <w:pStyle w:val="2"/>
        <w:spacing w:line="360" w:lineRule="auto"/>
        <w:ind w:left="-17" w:leftChars="-8" w:firstLine="436" w:firstLineChars="208"/>
        <w:rPr>
          <w:rFonts w:hint="eastAsia" w:eastAsia="宋体"/>
          <w:color w:val="000000"/>
          <w:sz w:val="21"/>
          <w:szCs w:val="21"/>
          <w:highlight w:val="none"/>
        </w:rPr>
      </w:pPr>
      <w:r>
        <w:rPr>
          <w:rFonts w:hint="eastAsia" w:eastAsia="宋体"/>
          <w:color w:val="000000"/>
          <w:sz w:val="21"/>
          <w:szCs w:val="21"/>
          <w:highlight w:val="none"/>
        </w:rPr>
        <w:t>单位名称：江苏仁合中惠工程咨询有限公司</w:t>
      </w:r>
    </w:p>
    <w:p>
      <w:pPr>
        <w:pStyle w:val="2"/>
        <w:spacing w:line="360" w:lineRule="auto"/>
        <w:ind w:left="-17" w:leftChars="-8" w:firstLine="436" w:firstLineChars="208"/>
        <w:rPr>
          <w:rFonts w:eastAsia="宋体"/>
          <w:color w:val="000000"/>
          <w:sz w:val="21"/>
          <w:szCs w:val="21"/>
          <w:highlight w:val="none"/>
        </w:rPr>
      </w:pPr>
      <w:r>
        <w:rPr>
          <w:rFonts w:hint="eastAsia" w:eastAsia="宋体"/>
          <w:color w:val="000000"/>
          <w:sz w:val="21"/>
          <w:szCs w:val="21"/>
          <w:highlight w:val="none"/>
        </w:rPr>
        <w:t>联 系 人：单琴、刘国臣</w:t>
      </w:r>
    </w:p>
    <w:p>
      <w:pPr>
        <w:pStyle w:val="2"/>
        <w:spacing w:line="360" w:lineRule="auto"/>
        <w:ind w:left="-17" w:leftChars="-8" w:firstLine="436" w:firstLineChars="208"/>
        <w:rPr>
          <w:rFonts w:hint="eastAsia" w:eastAsia="宋体"/>
          <w:color w:val="000000"/>
          <w:sz w:val="21"/>
          <w:szCs w:val="21"/>
          <w:highlight w:val="none"/>
        </w:rPr>
      </w:pPr>
      <w:r>
        <w:rPr>
          <w:rFonts w:hint="eastAsia" w:eastAsia="宋体"/>
          <w:color w:val="000000"/>
          <w:sz w:val="21"/>
          <w:szCs w:val="21"/>
          <w:highlight w:val="none"/>
        </w:rPr>
        <w:t>联系电话：0512-68083666-64</w:t>
      </w:r>
      <w:r>
        <w:rPr>
          <w:rFonts w:eastAsia="宋体"/>
          <w:color w:val="000000"/>
          <w:sz w:val="21"/>
          <w:szCs w:val="21"/>
          <w:highlight w:val="none"/>
        </w:rPr>
        <w:t>1</w:t>
      </w:r>
      <w:r>
        <w:rPr>
          <w:rFonts w:hint="eastAsia" w:eastAsia="宋体"/>
          <w:color w:val="000000"/>
          <w:sz w:val="21"/>
          <w:szCs w:val="21"/>
          <w:highlight w:val="none"/>
        </w:rPr>
        <w:t>1</w:t>
      </w:r>
    </w:p>
    <w:p>
      <w:pPr>
        <w:pStyle w:val="2"/>
        <w:spacing w:line="360" w:lineRule="auto"/>
        <w:ind w:left="-17" w:leftChars="-8" w:firstLine="436" w:firstLineChars="208"/>
        <w:rPr>
          <w:rFonts w:hint="eastAsia" w:eastAsia="宋体"/>
          <w:color w:val="000000"/>
          <w:sz w:val="21"/>
          <w:szCs w:val="21"/>
          <w:highlight w:val="none"/>
        </w:rPr>
      </w:pPr>
      <w:r>
        <w:rPr>
          <w:rFonts w:hint="eastAsia" w:eastAsia="宋体"/>
          <w:color w:val="000000"/>
          <w:sz w:val="21"/>
          <w:szCs w:val="21"/>
          <w:highlight w:val="none"/>
        </w:rPr>
        <w:t>传真电话：0512-68787802</w:t>
      </w:r>
    </w:p>
    <w:p>
      <w:pPr>
        <w:pStyle w:val="2"/>
        <w:spacing w:line="360" w:lineRule="auto"/>
        <w:ind w:left="-17" w:leftChars="-8" w:firstLine="436" w:firstLineChars="208"/>
        <w:rPr>
          <w:rFonts w:hint="eastAsia" w:eastAsia="宋体"/>
          <w:color w:val="000000"/>
          <w:sz w:val="21"/>
          <w:szCs w:val="21"/>
          <w:highlight w:val="none"/>
        </w:rPr>
      </w:pPr>
      <w:r>
        <w:rPr>
          <w:rFonts w:hint="eastAsia" w:eastAsia="宋体"/>
          <w:color w:val="000000"/>
          <w:sz w:val="21"/>
          <w:szCs w:val="21"/>
          <w:highlight w:val="none"/>
        </w:rPr>
        <w:t>联系地址：苏州高新区马运路248-3号三楼315室</w:t>
      </w:r>
    </w:p>
    <w:p>
      <w:pPr>
        <w:pStyle w:val="2"/>
        <w:spacing w:line="360" w:lineRule="auto"/>
        <w:ind w:left="-17" w:leftChars="-8" w:firstLine="436" w:firstLineChars="208"/>
        <w:rPr>
          <w:rFonts w:hint="eastAsia" w:eastAsia="宋体"/>
          <w:color w:val="000000"/>
          <w:sz w:val="21"/>
          <w:szCs w:val="21"/>
          <w:highlight w:val="none"/>
        </w:rPr>
      </w:pPr>
      <w:r>
        <w:rPr>
          <w:rFonts w:hint="eastAsia" w:eastAsia="宋体"/>
          <w:color w:val="000000"/>
          <w:sz w:val="21"/>
          <w:szCs w:val="21"/>
          <w:highlight w:val="none"/>
        </w:rPr>
        <w:t>邮政编码：215129</w:t>
      </w:r>
    </w:p>
    <w:p>
      <w:pPr>
        <w:widowControl/>
        <w:numPr>
          <w:ilvl w:val="0"/>
          <w:numId w:val="1"/>
        </w:numPr>
        <w:spacing w:line="360" w:lineRule="auto"/>
        <w:ind w:left="-17" w:leftChars="-8" w:firstLine="439" w:firstLineChars="208"/>
        <w:rPr>
          <w:rFonts w:hint="eastAsia"/>
          <w:b/>
          <w:color w:val="000000"/>
          <w:szCs w:val="21"/>
          <w:highlight w:val="none"/>
        </w:rPr>
      </w:pPr>
      <w:r>
        <w:rPr>
          <w:rFonts w:hint="eastAsia"/>
          <w:b/>
          <w:color w:val="000000"/>
          <w:szCs w:val="21"/>
          <w:highlight w:val="none"/>
        </w:rPr>
        <w:t>公告期：自公告发布之日起五个工作日。</w:t>
      </w:r>
    </w:p>
    <w:p>
      <w:pPr>
        <w:widowControl/>
        <w:numPr>
          <w:numId w:val="0"/>
        </w:numPr>
        <w:spacing w:line="360" w:lineRule="auto"/>
        <w:ind w:leftChars="200"/>
        <w:rPr>
          <w:rFonts w:hint="eastAsia"/>
          <w:b/>
          <w:color w:val="000000"/>
          <w:szCs w:val="21"/>
          <w:highlight w:val="none"/>
        </w:rPr>
      </w:pPr>
    </w:p>
    <w:p>
      <w:pPr>
        <w:widowControl/>
        <w:numPr>
          <w:numId w:val="0"/>
        </w:numPr>
        <w:spacing w:line="360" w:lineRule="auto"/>
        <w:ind w:leftChars="200"/>
        <w:rPr>
          <w:rFonts w:hint="eastAsia"/>
          <w:b/>
          <w:color w:val="000000"/>
          <w:szCs w:val="21"/>
          <w:highlight w:val="none"/>
        </w:rPr>
      </w:pPr>
      <w:bookmarkStart w:id="0" w:name="_GoBack"/>
      <w:bookmarkEnd w:id="0"/>
    </w:p>
    <w:p>
      <w:pPr>
        <w:pStyle w:val="2"/>
        <w:spacing w:line="360" w:lineRule="auto"/>
        <w:ind w:left="-17" w:leftChars="-8" w:firstLine="436" w:firstLineChars="208"/>
        <w:jc w:val="right"/>
        <w:rPr>
          <w:rFonts w:hint="eastAsia" w:eastAsia="宋体"/>
          <w:color w:val="000000"/>
          <w:sz w:val="21"/>
          <w:szCs w:val="21"/>
          <w:highlight w:val="none"/>
        </w:rPr>
      </w:pPr>
      <w:r>
        <w:rPr>
          <w:rFonts w:hint="eastAsia" w:eastAsia="宋体"/>
          <w:color w:val="000000"/>
          <w:sz w:val="21"/>
          <w:szCs w:val="21"/>
          <w:highlight w:val="none"/>
        </w:rPr>
        <w:t>江苏仁合中惠工程咨询有限公司</w:t>
      </w:r>
    </w:p>
    <w:p>
      <w:pPr>
        <w:widowControl/>
        <w:numPr>
          <w:numId w:val="0"/>
        </w:numPr>
        <w:spacing w:line="360" w:lineRule="auto"/>
        <w:ind w:leftChars="200"/>
        <w:jc w:val="right"/>
        <w:rPr>
          <w:rFonts w:hint="default" w:eastAsia="宋体"/>
          <w:b/>
          <w:color w:val="000000"/>
          <w:szCs w:val="21"/>
          <w:highlight w:val="none"/>
          <w:lang w:val="en-US" w:eastAsia="zh-CN"/>
        </w:rPr>
      </w:pPr>
      <w:r>
        <w:rPr>
          <w:rFonts w:hint="eastAsia"/>
          <w:b/>
          <w:color w:val="000000"/>
          <w:szCs w:val="21"/>
          <w:highlight w:val="none"/>
          <w:lang w:val="en-US" w:eastAsia="zh-CN"/>
        </w:rPr>
        <w:t>2023年9月27日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6A365A"/>
    <w:multiLevelType w:val="singleLevel"/>
    <w:tmpl w:val="896A365A"/>
    <w:lvl w:ilvl="0" w:tentative="0">
      <w:start w:val="1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lNGQzZDhjOGYzZWMyZTgxYjM0YzRhMjJjNzUyNDQifQ=="/>
  </w:docVars>
  <w:rsids>
    <w:rsidRoot w:val="777106A0"/>
    <w:rsid w:val="36F25B77"/>
    <w:rsid w:val="77710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Date"/>
    <w:basedOn w:val="1"/>
    <w:next w:val="1"/>
    <w:qFormat/>
    <w:uiPriority w:val="0"/>
    <w:rPr>
      <w:rFonts w:ascii="宋体" w:hAnsi="宋体" w:eastAsia="楷体_GB2312"/>
      <w:sz w:val="24"/>
      <w:szCs w:val="24"/>
    </w:rPr>
  </w:style>
  <w:style w:type="paragraph" w:styleId="3">
    <w:name w:val="Normal (Web)"/>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6">
    <w:name w:val="纯文本1"/>
    <w:basedOn w:val="1"/>
    <w:uiPriority w:val="0"/>
    <w:pPr>
      <w:adjustRightInd w:val="0"/>
      <w:textAlignment w:val="baseline"/>
    </w:pPr>
    <w:rPr>
      <w:rFonts w:ascii="宋体" w:hAnsi="Courier New" w:eastAsia="楷体_GB2312"/>
      <w:sz w:val="26"/>
    </w:rPr>
  </w:style>
  <w:style w:type="paragraph" w:customStyle="1" w:styleId="7">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2023-09-26T02:05:00Z</dcterms:created>
  <dc:creator>单单</dc:creator>
  <cp:lastModifiedBy>单单</cp:lastModifiedBy>
  <dcterms:modified xsi:type="dcterms:W3CDTF">2023-09-26T02:06:32Z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D91C71FFACB34A03AFD6D0C2B18FA792_11</vt:lpwstr>
  </property>
</Properties>
</file>